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B780A4">
      <w:pPr>
        <w:spacing w:line="560" w:lineRule="exact"/>
        <w:rPr>
          <w:rFonts w:hint="default" w:ascii="Times New Roman" w:hAnsi="Times New Roman" w:cs="Times New Roman" w:eastAsiaTheme="minorEastAsia"/>
          <w:lang w:val="en-US" w:eastAsia="zh-CN"/>
        </w:rPr>
      </w:pPr>
      <w:r>
        <w:rPr>
          <w:rFonts w:ascii="Times New Roman" w:hAnsi="Times New Roman"/>
        </w:rPr>
        <w:t xml:space="preserve">证券代码：000875         </w:t>
      </w:r>
      <w:r>
        <w:rPr>
          <w:rFonts w:hint="eastAsia" w:ascii="Times New Roman" w:hAnsi="Times New Roman"/>
        </w:rPr>
        <w:t xml:space="preserve">  </w:t>
      </w:r>
      <w:r>
        <w:rPr>
          <w:rFonts w:ascii="Times New Roman" w:hAnsi="Times New Roman"/>
        </w:rPr>
        <w:t xml:space="preserve"> 证券简称：吉电股份       </w:t>
      </w:r>
      <w:r>
        <w:rPr>
          <w:rFonts w:hint="eastAsia" w:ascii="Times New Roman" w:hAnsi="Times New Roman"/>
        </w:rPr>
        <w:t xml:space="preserve"> </w:t>
      </w:r>
      <w:r>
        <w:rPr>
          <w:rFonts w:ascii="Times New Roman" w:hAnsi="Times New Roman"/>
        </w:rPr>
        <w:t xml:space="preserve">      公告编号：</w:t>
      </w:r>
      <w:r>
        <w:rPr>
          <w:rFonts w:ascii="Times New Roman" w:hAnsi="Times New Roman" w:cs="Times New Roman"/>
        </w:rPr>
        <w:t>202</w:t>
      </w:r>
      <w:r>
        <w:rPr>
          <w:rFonts w:hint="eastAsia" w:ascii="Times New Roman" w:hAnsi="Times New Roman" w:cs="Times New Roman"/>
        </w:rPr>
        <w:t>4</w:t>
      </w:r>
      <w:r>
        <w:rPr>
          <w:rFonts w:ascii="Times New Roman" w:hAnsi="Times New Roman" w:cs="Times New Roman"/>
        </w:rPr>
        <w:t>-0</w:t>
      </w:r>
      <w:r>
        <w:rPr>
          <w:rFonts w:hint="eastAsia" w:ascii="Times New Roman" w:hAnsi="Times New Roman" w:cs="Times New Roman"/>
          <w:lang w:val="en-US" w:eastAsia="zh-CN"/>
        </w:rPr>
        <w:t>65</w:t>
      </w:r>
    </w:p>
    <w:p w14:paraId="488B5175">
      <w:pPr>
        <w:spacing w:line="560" w:lineRule="exact"/>
      </w:pPr>
      <w:r>
        <w:rPr>
          <w:rFonts w:ascii="Times New Roman" w:hAnsi="Times New Roman"/>
          <w:color w:val="FF6600"/>
        </w:rPr>
        <mc:AlternateContent>
          <mc:Choice Requires="wps">
            <w:drawing>
              <wp:anchor distT="0" distB="0" distL="114300" distR="114300" simplePos="0" relativeHeight="251659264" behindDoc="0" locked="0" layoutInCell="1" allowOverlap="1">
                <wp:simplePos x="0" y="0"/>
                <wp:positionH relativeFrom="column">
                  <wp:posOffset>-106680</wp:posOffset>
                </wp:positionH>
                <wp:positionV relativeFrom="paragraph">
                  <wp:posOffset>17780</wp:posOffset>
                </wp:positionV>
                <wp:extent cx="5417820" cy="22860"/>
                <wp:effectExtent l="0" t="28575" r="7620" b="40005"/>
                <wp:wrapNone/>
                <wp:docPr id="1" name="直接连接符 1"/>
                <wp:cNvGraphicFramePr/>
                <a:graphic xmlns:a="http://schemas.openxmlformats.org/drawingml/2006/main">
                  <a:graphicData uri="http://schemas.microsoft.com/office/word/2010/wordprocessingShape">
                    <wps:wsp>
                      <wps:cNvCnPr/>
                      <wps:spPr>
                        <a:xfrm flipV="1">
                          <a:off x="0" y="0"/>
                          <a:ext cx="5417820" cy="22860"/>
                        </a:xfrm>
                        <a:prstGeom prst="line">
                          <a:avLst/>
                        </a:prstGeom>
                        <a:ln w="57150" cap="flat" cmpd="thinThick">
                          <a:solidFill>
                            <a:srgbClr val="FF6600"/>
                          </a:solidFill>
                          <a:prstDash val="solid"/>
                          <a:headEnd type="none" w="med" len="med"/>
                          <a:tailEnd type="none" w="med" len="med"/>
                        </a:ln>
                        <a:effectLst/>
                      </wps:spPr>
                      <wps:bodyPr/>
                    </wps:wsp>
                  </a:graphicData>
                </a:graphic>
              </wp:anchor>
            </w:drawing>
          </mc:Choice>
          <mc:Fallback>
            <w:pict>
              <v:line id="_x0000_s1026" o:spid="_x0000_s1026" o:spt="20" style="position:absolute;left:0pt;flip:y;margin-left:-8.4pt;margin-top:1.4pt;height:1.8pt;width:426.6pt;z-index:251659264;mso-width-relative:page;mso-height-relative:page;" filled="f" stroked="t" coordsize="21600,21600" o:gfxdata="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3c3t5dQAAAAHAQAADwAAAAAAAAABACAAAAAiAAAAZHJzL2Rvd25y&#10;ZXYueG1sUEsBAhQAFAAAAAgAh07iQPKOq/QCAgAA+wMAAA4AAAAAAAAAAQAgAAAAIwEAAGRycy9l&#10;Mm9Eb2MueG1sUEsFBgAAAAAGAAYAWQEAAJcFAAAAAA==&#10;">
                <v:fill on="f" focussize="0,0"/>
                <v:stroke weight="4.5pt" color="#FF6600" linestyle="thinThick" joinstyle="round"/>
                <v:imagedata o:title=""/>
                <o:lock v:ext="edit" aspectratio="f"/>
              </v:line>
            </w:pict>
          </mc:Fallback>
        </mc:AlternateContent>
      </w:r>
    </w:p>
    <w:p w14:paraId="2C3F804E">
      <w:pPr>
        <w:spacing w:line="560" w:lineRule="exact"/>
        <w:jc w:val="center"/>
        <w:rPr>
          <w:rFonts w:ascii="Times New Roman" w:hAnsi="Times New Roman"/>
          <w:b/>
          <w:sz w:val="44"/>
          <w:szCs w:val="44"/>
        </w:rPr>
      </w:pPr>
      <w:r>
        <w:rPr>
          <w:rFonts w:ascii="Times New Roman" w:hAnsi="Times New Roman"/>
          <w:b/>
          <w:sz w:val="44"/>
          <w:szCs w:val="44"/>
        </w:rPr>
        <w:t>吉林电力股份有限公司</w:t>
      </w:r>
    </w:p>
    <w:p w14:paraId="0D7AEE03">
      <w:pPr>
        <w:pStyle w:val="6"/>
        <w:spacing w:line="560" w:lineRule="exact"/>
        <w:ind w:firstLine="0" w:firstLineChars="0"/>
        <w:jc w:val="center"/>
        <w:rPr>
          <w:b/>
          <w:sz w:val="44"/>
          <w:szCs w:val="44"/>
        </w:rPr>
      </w:pPr>
      <w:r>
        <w:rPr>
          <w:b/>
          <w:sz w:val="44"/>
          <w:szCs w:val="44"/>
        </w:rPr>
        <w:t>关于向特定对象发行股票申请文件更新财务数据的提示性公告</w:t>
      </w:r>
    </w:p>
    <w:p w14:paraId="781020A7">
      <w:pPr>
        <w:spacing w:line="560" w:lineRule="exact"/>
        <w:ind w:firstLine="562" w:firstLineChars="200"/>
        <w:rPr>
          <w:rFonts w:ascii="仿宋" w:hAnsi="仿宋" w:eastAsia="仿宋"/>
          <w:b/>
          <w:sz w:val="28"/>
          <w:szCs w:val="28"/>
        </w:rPr>
      </w:pPr>
    </w:p>
    <w:p w14:paraId="0F6DF031">
      <w:pPr>
        <w:spacing w:line="560" w:lineRule="exact"/>
        <w:ind w:firstLine="562" w:firstLineChars="200"/>
        <w:rPr>
          <w:rFonts w:ascii="仿宋" w:hAnsi="仿宋" w:eastAsia="仿宋"/>
          <w:b/>
          <w:sz w:val="28"/>
          <w:szCs w:val="28"/>
        </w:rPr>
      </w:pPr>
      <w:r>
        <w:rPr>
          <w:rFonts w:hint="eastAsia" w:ascii="仿宋" w:hAnsi="仿宋" w:eastAsia="仿宋"/>
          <w:b/>
          <w:sz w:val="28"/>
          <w:szCs w:val="28"/>
        </w:rPr>
        <w:t>本公司及董事会全体成员保证信息披露的内容真实、准确、完整，没有虚假记载、误导性陈述或重大遗漏。</w:t>
      </w:r>
    </w:p>
    <w:p w14:paraId="24AB8CD4">
      <w:pPr>
        <w:spacing w:line="560" w:lineRule="exact"/>
      </w:pPr>
    </w:p>
    <w:p w14:paraId="36190CBD">
      <w:pPr>
        <w:widowControl/>
        <w:spacing w:line="620" w:lineRule="exact"/>
        <w:ind w:firstLine="560" w:firstLineChars="200"/>
        <w:jc w:val="both"/>
        <w:rPr>
          <w:rFonts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 xml:space="preserve">吉林电力股份有限公司（以下简称“公司”）向特定对象发行股票申请已收到中国证券监督管理委员会出具的《关于同意吉林电力股份有限公司向特定对象发行股票注册的批复》（证监许可〔2024〕690号），具体内容详见公司于2024年4月30日在巨潮资讯网上披露的《关于向特定对象发行股票申请获得中国证监会同意注册批复的公告》（公告编号：2024-040）。  </w:t>
      </w:r>
    </w:p>
    <w:p w14:paraId="4ECC46D0">
      <w:pPr>
        <w:widowControl/>
        <w:spacing w:line="560" w:lineRule="exact"/>
        <w:ind w:firstLine="560" w:firstLineChars="200"/>
        <w:jc w:val="both"/>
        <w:rPr>
          <w:rFonts w:ascii="仿宋" w:hAnsi="仿宋" w:eastAsia="仿宋" w:cs="仿宋"/>
          <w:color w:val="000000"/>
          <w:kern w:val="0"/>
          <w:sz w:val="28"/>
          <w:szCs w:val="28"/>
          <w:lang w:bidi="ar"/>
        </w:rPr>
      </w:pPr>
      <w:r>
        <w:rPr>
          <w:rFonts w:ascii="仿宋" w:hAnsi="仿宋" w:eastAsia="仿宋" w:cs="仿宋"/>
          <w:color w:val="000000"/>
          <w:kern w:val="0"/>
          <w:sz w:val="28"/>
          <w:szCs w:val="28"/>
          <w:lang w:bidi="ar"/>
        </w:rPr>
        <w:t>鉴于公司于202</w:t>
      </w:r>
      <w:r>
        <w:rPr>
          <w:rFonts w:hint="eastAsia" w:ascii="仿宋" w:hAnsi="仿宋" w:eastAsia="仿宋" w:cs="仿宋"/>
          <w:color w:val="000000"/>
          <w:kern w:val="0"/>
          <w:sz w:val="28"/>
          <w:szCs w:val="28"/>
          <w:lang w:bidi="ar"/>
        </w:rPr>
        <w:t>4</w:t>
      </w:r>
      <w:r>
        <w:rPr>
          <w:rFonts w:ascii="仿宋" w:hAnsi="仿宋" w:eastAsia="仿宋" w:cs="仿宋"/>
          <w:color w:val="000000"/>
          <w:kern w:val="0"/>
          <w:sz w:val="28"/>
          <w:szCs w:val="28"/>
          <w:lang w:bidi="ar"/>
        </w:rPr>
        <w:t>年</w:t>
      </w:r>
      <w:r>
        <w:rPr>
          <w:rFonts w:hint="eastAsia" w:ascii="仿宋" w:hAnsi="仿宋" w:eastAsia="仿宋" w:cs="仿宋"/>
          <w:color w:val="000000"/>
          <w:kern w:val="0"/>
          <w:sz w:val="28"/>
          <w:szCs w:val="28"/>
          <w:lang w:val="en-US" w:eastAsia="zh-CN" w:bidi="ar"/>
        </w:rPr>
        <w:t>7</w:t>
      </w:r>
      <w:r>
        <w:rPr>
          <w:rFonts w:ascii="仿宋" w:hAnsi="仿宋" w:eastAsia="仿宋" w:cs="仿宋"/>
          <w:color w:val="000000"/>
          <w:kern w:val="0"/>
          <w:sz w:val="28"/>
          <w:szCs w:val="28"/>
          <w:lang w:bidi="ar"/>
        </w:rPr>
        <w:t>月</w:t>
      </w:r>
      <w:r>
        <w:rPr>
          <w:rFonts w:hint="eastAsia" w:ascii="仿宋" w:hAnsi="仿宋" w:eastAsia="仿宋" w:cs="仿宋"/>
          <w:color w:val="000000"/>
          <w:kern w:val="0"/>
          <w:sz w:val="28"/>
          <w:szCs w:val="28"/>
          <w:lang w:bidi="ar"/>
        </w:rPr>
        <w:t>3</w:t>
      </w:r>
      <w:r>
        <w:rPr>
          <w:rFonts w:hint="eastAsia" w:ascii="仿宋" w:hAnsi="仿宋" w:eastAsia="仿宋" w:cs="仿宋"/>
          <w:color w:val="000000"/>
          <w:kern w:val="0"/>
          <w:sz w:val="28"/>
          <w:szCs w:val="28"/>
          <w:lang w:val="en-US" w:eastAsia="zh-CN" w:bidi="ar"/>
        </w:rPr>
        <w:t>1</w:t>
      </w:r>
      <w:r>
        <w:rPr>
          <w:rFonts w:ascii="仿宋" w:hAnsi="仿宋" w:eastAsia="仿宋" w:cs="仿宋"/>
          <w:color w:val="000000"/>
          <w:kern w:val="0"/>
          <w:sz w:val="28"/>
          <w:szCs w:val="28"/>
          <w:lang w:bidi="ar"/>
        </w:rPr>
        <w:t>日披露了《202</w:t>
      </w:r>
      <w:r>
        <w:rPr>
          <w:rFonts w:hint="eastAsia" w:ascii="仿宋" w:hAnsi="仿宋" w:eastAsia="仿宋" w:cs="仿宋"/>
          <w:color w:val="000000"/>
          <w:kern w:val="0"/>
          <w:sz w:val="28"/>
          <w:szCs w:val="28"/>
          <w:lang w:val="en-US" w:eastAsia="zh-CN" w:bidi="ar"/>
        </w:rPr>
        <w:t>4</w:t>
      </w:r>
      <w:r>
        <w:rPr>
          <w:rFonts w:ascii="仿宋" w:hAnsi="仿宋" w:eastAsia="仿宋" w:cs="仿宋"/>
          <w:color w:val="000000"/>
          <w:kern w:val="0"/>
          <w:sz w:val="28"/>
          <w:szCs w:val="28"/>
          <w:lang w:bidi="ar"/>
        </w:rPr>
        <w:t>年</w:t>
      </w:r>
      <w:r>
        <w:rPr>
          <w:rFonts w:hint="eastAsia" w:ascii="仿宋" w:hAnsi="仿宋" w:eastAsia="仿宋" w:cs="仿宋"/>
          <w:color w:val="000000"/>
          <w:kern w:val="0"/>
          <w:sz w:val="28"/>
          <w:szCs w:val="28"/>
          <w:lang w:val="en-US" w:eastAsia="zh-CN" w:bidi="ar"/>
        </w:rPr>
        <w:t>半</w:t>
      </w:r>
      <w:r>
        <w:rPr>
          <w:rFonts w:ascii="仿宋" w:hAnsi="仿宋" w:eastAsia="仿宋" w:cs="仿宋"/>
          <w:color w:val="000000"/>
          <w:kern w:val="0"/>
          <w:sz w:val="28"/>
          <w:szCs w:val="28"/>
          <w:lang w:bidi="ar"/>
        </w:rPr>
        <w:t>年度报告》，</w:t>
      </w:r>
      <w:r>
        <w:rPr>
          <w:rFonts w:hint="eastAsia" w:ascii="仿宋" w:hAnsi="仿宋" w:eastAsia="仿宋" w:cs="仿宋"/>
          <w:color w:val="000000"/>
          <w:kern w:val="0"/>
          <w:sz w:val="28"/>
          <w:szCs w:val="28"/>
          <w:lang w:val="en-US" w:eastAsia="zh-CN" w:bidi="ar"/>
        </w:rPr>
        <w:t>根据相关要求，</w:t>
      </w:r>
      <w:r>
        <w:rPr>
          <w:rFonts w:ascii="仿宋" w:hAnsi="仿宋" w:eastAsia="仿宋" w:cs="仿宋"/>
          <w:color w:val="000000"/>
          <w:kern w:val="0"/>
          <w:sz w:val="28"/>
          <w:szCs w:val="28"/>
          <w:lang w:bidi="ar"/>
        </w:rPr>
        <w:t>公司会同相关中介机构对募集说明书</w:t>
      </w:r>
      <w:r>
        <w:rPr>
          <w:rFonts w:hint="eastAsia" w:ascii="仿宋" w:hAnsi="仿宋" w:eastAsia="仿宋" w:cs="仿宋"/>
          <w:color w:val="000000"/>
          <w:kern w:val="0"/>
          <w:sz w:val="28"/>
          <w:szCs w:val="28"/>
          <w:lang w:bidi="ar"/>
        </w:rPr>
        <w:t>、发行保荐书等相关</w:t>
      </w:r>
      <w:r>
        <w:rPr>
          <w:rFonts w:ascii="仿宋" w:hAnsi="仿宋" w:eastAsia="仿宋" w:cs="仿宋"/>
          <w:color w:val="000000"/>
          <w:kern w:val="0"/>
          <w:sz w:val="28"/>
          <w:szCs w:val="28"/>
          <w:lang w:bidi="ar"/>
        </w:rPr>
        <w:t>文件中涉及的财务数据及其他变动事项进行了更新，具体内容详见</w:t>
      </w:r>
      <w:r>
        <w:rPr>
          <w:rFonts w:hint="eastAsia" w:ascii="仿宋" w:hAnsi="仿宋" w:eastAsia="仿宋" w:cs="仿宋"/>
          <w:color w:val="000000"/>
          <w:kern w:val="0"/>
          <w:sz w:val="28"/>
          <w:szCs w:val="28"/>
          <w:lang w:val="en-US" w:eastAsia="zh-CN" w:bidi="ar"/>
        </w:rPr>
        <w:t>同日</w:t>
      </w:r>
      <w:r>
        <w:rPr>
          <w:rFonts w:ascii="仿宋" w:hAnsi="仿宋" w:eastAsia="仿宋" w:cs="仿宋"/>
          <w:color w:val="000000"/>
          <w:kern w:val="0"/>
          <w:sz w:val="28"/>
          <w:szCs w:val="28"/>
          <w:lang w:bidi="ar"/>
        </w:rPr>
        <w:t>在巨潮资讯网（www.cninfo.com.cn）上披露的</w:t>
      </w:r>
      <w:r>
        <w:rPr>
          <w:rFonts w:hint="eastAsia" w:ascii="仿宋" w:hAnsi="仿宋" w:eastAsia="仿宋" w:cs="仿宋"/>
          <w:color w:val="000000"/>
          <w:kern w:val="0"/>
          <w:sz w:val="28"/>
          <w:szCs w:val="28"/>
          <w:lang w:bidi="ar"/>
        </w:rPr>
        <w:t>《吉林电力股份有限公司向特定对象发行A股股票募集说明书（注册稿）（202</w:t>
      </w:r>
      <w:r>
        <w:rPr>
          <w:rFonts w:hint="eastAsia" w:ascii="仿宋" w:hAnsi="仿宋" w:eastAsia="仿宋" w:cs="仿宋"/>
          <w:color w:val="000000"/>
          <w:kern w:val="0"/>
          <w:sz w:val="28"/>
          <w:szCs w:val="28"/>
          <w:lang w:val="en-US" w:eastAsia="zh-CN" w:bidi="ar"/>
        </w:rPr>
        <w:t>4</w:t>
      </w:r>
      <w:r>
        <w:rPr>
          <w:rFonts w:hint="eastAsia" w:ascii="仿宋" w:hAnsi="仿宋" w:eastAsia="仿宋" w:cs="仿宋"/>
          <w:color w:val="000000"/>
          <w:kern w:val="0"/>
          <w:sz w:val="28"/>
          <w:szCs w:val="28"/>
          <w:lang w:bidi="ar"/>
        </w:rPr>
        <w:t>年</w:t>
      </w:r>
      <w:r>
        <w:rPr>
          <w:rFonts w:hint="eastAsia" w:ascii="仿宋" w:hAnsi="仿宋" w:eastAsia="仿宋" w:cs="仿宋"/>
          <w:color w:val="000000"/>
          <w:kern w:val="0"/>
          <w:sz w:val="28"/>
          <w:szCs w:val="28"/>
          <w:lang w:val="en-US" w:eastAsia="zh-CN" w:bidi="ar"/>
        </w:rPr>
        <w:t>半</w:t>
      </w:r>
      <w:r>
        <w:rPr>
          <w:rFonts w:hint="eastAsia" w:ascii="仿宋" w:hAnsi="仿宋" w:eastAsia="仿宋" w:cs="仿宋"/>
          <w:color w:val="000000"/>
          <w:kern w:val="0"/>
          <w:sz w:val="28"/>
          <w:szCs w:val="28"/>
          <w:lang w:bidi="ar"/>
        </w:rPr>
        <w:t>年报更新版）》《国信证券股份有限公司关于吉林电力股份有限公司主板向特定对象发行股票的发行保荐书</w:t>
      </w:r>
      <w:r>
        <w:rPr>
          <w:rFonts w:ascii="仿宋" w:hAnsi="仿宋" w:eastAsia="仿宋" w:cs="仿宋"/>
          <w:color w:val="000000"/>
          <w:kern w:val="0"/>
          <w:sz w:val="28"/>
          <w:szCs w:val="28"/>
          <w:lang w:bidi="ar"/>
        </w:rPr>
        <w:t>（202</w:t>
      </w:r>
      <w:r>
        <w:rPr>
          <w:rFonts w:hint="eastAsia" w:ascii="仿宋" w:hAnsi="仿宋" w:eastAsia="仿宋" w:cs="仿宋"/>
          <w:color w:val="000000"/>
          <w:kern w:val="0"/>
          <w:sz w:val="28"/>
          <w:szCs w:val="28"/>
          <w:lang w:val="en-US" w:eastAsia="zh-CN" w:bidi="ar"/>
        </w:rPr>
        <w:t>4</w:t>
      </w:r>
      <w:r>
        <w:rPr>
          <w:rFonts w:hint="eastAsia" w:ascii="仿宋" w:hAnsi="仿宋" w:eastAsia="仿宋" w:cs="仿宋"/>
          <w:color w:val="000000"/>
          <w:kern w:val="0"/>
          <w:sz w:val="28"/>
          <w:szCs w:val="28"/>
          <w:lang w:bidi="ar"/>
        </w:rPr>
        <w:t>年</w:t>
      </w:r>
      <w:r>
        <w:rPr>
          <w:rFonts w:hint="eastAsia" w:ascii="仿宋" w:hAnsi="仿宋" w:eastAsia="仿宋" w:cs="仿宋"/>
          <w:color w:val="000000"/>
          <w:kern w:val="0"/>
          <w:sz w:val="28"/>
          <w:szCs w:val="28"/>
          <w:lang w:val="en-US" w:eastAsia="zh-CN" w:bidi="ar"/>
        </w:rPr>
        <w:t>半</w:t>
      </w:r>
      <w:r>
        <w:rPr>
          <w:rFonts w:hint="eastAsia" w:ascii="仿宋" w:hAnsi="仿宋" w:eastAsia="仿宋" w:cs="仿宋"/>
          <w:color w:val="000000"/>
          <w:kern w:val="0"/>
          <w:sz w:val="28"/>
          <w:szCs w:val="28"/>
          <w:lang w:bidi="ar"/>
        </w:rPr>
        <w:t>年报</w:t>
      </w:r>
      <w:r>
        <w:rPr>
          <w:rFonts w:ascii="仿宋" w:hAnsi="仿宋" w:eastAsia="仿宋" w:cs="仿宋"/>
          <w:color w:val="000000"/>
          <w:kern w:val="0"/>
          <w:sz w:val="28"/>
          <w:szCs w:val="28"/>
          <w:lang w:bidi="ar"/>
        </w:rPr>
        <w:t>更新版）</w:t>
      </w:r>
      <w:r>
        <w:rPr>
          <w:rFonts w:hint="eastAsia" w:ascii="仿宋" w:hAnsi="仿宋" w:eastAsia="仿宋" w:cs="仿宋"/>
          <w:color w:val="000000"/>
          <w:kern w:val="0"/>
          <w:sz w:val="28"/>
          <w:szCs w:val="28"/>
          <w:lang w:bidi="ar"/>
        </w:rPr>
        <w:t>》等</w:t>
      </w:r>
      <w:r>
        <w:rPr>
          <w:rFonts w:ascii="仿宋" w:hAnsi="仿宋" w:eastAsia="仿宋" w:cs="仿宋"/>
          <w:color w:val="000000"/>
          <w:kern w:val="0"/>
          <w:sz w:val="28"/>
          <w:szCs w:val="28"/>
          <w:lang w:bidi="ar"/>
        </w:rPr>
        <w:t>相关公告文件。</w:t>
      </w:r>
    </w:p>
    <w:p w14:paraId="55875638">
      <w:pPr>
        <w:widowControl/>
        <w:spacing w:line="620" w:lineRule="exact"/>
        <w:ind w:firstLine="560" w:firstLineChars="200"/>
        <w:jc w:val="both"/>
        <w:rPr>
          <w:rFonts w:ascii="仿宋" w:hAnsi="仿宋" w:eastAsia="仿宋" w:cs="仿宋"/>
          <w:color w:val="000000"/>
          <w:kern w:val="0"/>
          <w:sz w:val="28"/>
          <w:szCs w:val="28"/>
          <w:lang w:bidi="ar"/>
        </w:rPr>
      </w:pPr>
      <w:r>
        <w:rPr>
          <w:rFonts w:ascii="仿宋" w:hAnsi="仿宋" w:eastAsia="仿宋" w:cs="仿宋"/>
          <w:color w:val="000000"/>
          <w:kern w:val="0"/>
          <w:sz w:val="28"/>
          <w:szCs w:val="28"/>
          <w:lang w:bidi="ar"/>
        </w:rPr>
        <w:t>公司将根据本次发行的进展情况及时履行信息披露义务，敬请广大投资者注意投资风险。</w:t>
      </w:r>
    </w:p>
    <w:p w14:paraId="0ED6B23E">
      <w:pPr>
        <w:widowControl/>
        <w:spacing w:line="620" w:lineRule="exact"/>
        <w:ind w:firstLine="560" w:firstLineChars="200"/>
        <w:jc w:val="left"/>
        <w:rPr>
          <w:rFonts w:ascii="仿宋" w:hAnsi="仿宋" w:eastAsia="仿宋" w:cs="仿宋"/>
          <w:color w:val="000000"/>
          <w:kern w:val="0"/>
          <w:sz w:val="28"/>
          <w:szCs w:val="28"/>
          <w:lang w:bidi="ar"/>
        </w:rPr>
      </w:pPr>
      <w:bookmarkStart w:id="0" w:name="_GoBack"/>
      <w:bookmarkEnd w:id="0"/>
    </w:p>
    <w:p w14:paraId="1FD4F3E7">
      <w:pPr>
        <w:widowControl/>
        <w:spacing w:line="620" w:lineRule="exact"/>
        <w:ind w:firstLine="560" w:firstLineChars="200"/>
        <w:jc w:val="left"/>
        <w:rPr>
          <w:rFonts w:ascii="仿宋" w:hAnsi="仿宋" w:eastAsia="仿宋" w:cs="仿宋"/>
          <w:color w:val="000000"/>
          <w:kern w:val="0"/>
          <w:sz w:val="28"/>
          <w:szCs w:val="28"/>
          <w:lang w:bidi="ar"/>
        </w:rPr>
      </w:pPr>
      <w:r>
        <w:rPr>
          <w:rFonts w:ascii="仿宋" w:hAnsi="仿宋" w:eastAsia="仿宋" w:cs="仿宋"/>
          <w:color w:val="000000"/>
          <w:kern w:val="0"/>
          <w:sz w:val="28"/>
          <w:szCs w:val="28"/>
          <w:lang w:bidi="ar"/>
        </w:rPr>
        <w:t>特此公告。</w:t>
      </w:r>
    </w:p>
    <w:p w14:paraId="336789E6">
      <w:pPr>
        <w:widowControl/>
        <w:spacing w:line="620" w:lineRule="exact"/>
        <w:ind w:firstLine="560" w:firstLineChars="200"/>
        <w:jc w:val="left"/>
        <w:rPr>
          <w:rFonts w:ascii="仿宋" w:hAnsi="仿宋" w:eastAsia="仿宋" w:cs="仿宋"/>
          <w:color w:val="000000"/>
          <w:kern w:val="0"/>
          <w:sz w:val="28"/>
          <w:szCs w:val="28"/>
          <w:lang w:bidi="ar"/>
        </w:rPr>
      </w:pPr>
    </w:p>
    <w:p w14:paraId="6D0C2A5C">
      <w:pPr>
        <w:widowControl/>
        <w:spacing w:line="620" w:lineRule="exact"/>
        <w:ind w:firstLine="560" w:firstLineChars="200"/>
        <w:jc w:val="right"/>
        <w:rPr>
          <w:rFonts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吉林电力股份有限公司董事会</w:t>
      </w:r>
    </w:p>
    <w:p w14:paraId="0AB0A9F6">
      <w:pPr>
        <w:widowControl/>
        <w:spacing w:line="620" w:lineRule="exact"/>
        <w:ind w:firstLine="560" w:firstLineChars="200"/>
        <w:jc w:val="center"/>
        <w:rPr>
          <w:rFonts w:ascii="仿宋" w:hAnsi="仿宋" w:eastAsia="仿宋" w:cs="仿宋"/>
          <w:color w:val="000000"/>
          <w:kern w:val="0"/>
          <w:sz w:val="28"/>
          <w:szCs w:val="28"/>
          <w:lang w:bidi="ar"/>
        </w:rPr>
      </w:pPr>
      <w:r>
        <w:rPr>
          <w:rFonts w:hint="eastAsia" w:ascii="仿宋" w:hAnsi="仿宋" w:eastAsia="仿宋" w:cs="仿宋"/>
          <w:color w:val="000000"/>
          <w:kern w:val="0"/>
          <w:sz w:val="28"/>
          <w:szCs w:val="28"/>
          <w:lang w:val="en-US" w:eastAsia="zh-CN" w:bidi="ar"/>
        </w:rPr>
        <w:t xml:space="preserve">                              </w:t>
      </w:r>
      <w:r>
        <w:rPr>
          <w:rFonts w:hint="eastAsia" w:ascii="仿宋" w:hAnsi="仿宋" w:eastAsia="仿宋" w:cs="仿宋"/>
          <w:color w:val="000000"/>
          <w:kern w:val="0"/>
          <w:sz w:val="28"/>
          <w:szCs w:val="28"/>
          <w:lang w:bidi="ar"/>
        </w:rPr>
        <w:t>二○二四年</w:t>
      </w:r>
      <w:r>
        <w:rPr>
          <w:rFonts w:hint="eastAsia" w:ascii="仿宋" w:hAnsi="仿宋" w:eastAsia="仿宋" w:cs="仿宋"/>
          <w:color w:val="000000"/>
          <w:kern w:val="0"/>
          <w:sz w:val="28"/>
          <w:szCs w:val="28"/>
          <w:lang w:val="en-US" w:eastAsia="zh-CN" w:bidi="ar"/>
        </w:rPr>
        <w:t>八</w:t>
      </w:r>
      <w:r>
        <w:rPr>
          <w:rFonts w:hint="eastAsia" w:ascii="仿宋" w:hAnsi="仿宋" w:eastAsia="仿宋" w:cs="仿宋"/>
          <w:color w:val="000000"/>
          <w:kern w:val="0"/>
          <w:sz w:val="28"/>
          <w:szCs w:val="28"/>
          <w:lang w:bidi="ar"/>
        </w:rPr>
        <w:t>月</w:t>
      </w:r>
      <w:r>
        <w:rPr>
          <w:rFonts w:hint="eastAsia" w:ascii="仿宋" w:hAnsi="仿宋" w:eastAsia="仿宋" w:cs="仿宋"/>
          <w:color w:val="000000"/>
          <w:kern w:val="0"/>
          <w:sz w:val="28"/>
          <w:szCs w:val="28"/>
          <w:lang w:val="en-US" w:eastAsia="zh-CN" w:bidi="ar"/>
        </w:rPr>
        <w:t>十六</w:t>
      </w:r>
      <w:r>
        <w:rPr>
          <w:rFonts w:hint="eastAsia" w:ascii="仿宋" w:hAnsi="仿宋" w:eastAsia="仿宋" w:cs="仿宋"/>
          <w:color w:val="000000"/>
          <w:kern w:val="0"/>
          <w:sz w:val="28"/>
          <w:szCs w:val="28"/>
          <w:lang w:bidi="ar"/>
        </w:rPr>
        <w:t>日</w:t>
      </w:r>
    </w:p>
    <w:p w14:paraId="13BFD3AB">
      <w:pPr>
        <w:pStyle w:val="3"/>
        <w:spacing w:line="620" w:lineRule="exact"/>
        <w:ind w:left="1470" w:right="1470" w:firstLine="560"/>
        <w:rPr>
          <w:rFonts w:ascii="仿宋" w:hAnsi="仿宋" w:eastAsia="仿宋" w:cs="仿宋"/>
          <w:color w:val="000000"/>
          <w:kern w:val="0"/>
          <w:sz w:val="28"/>
          <w:szCs w:val="28"/>
          <w:lang w:bidi="ar"/>
        </w:rPr>
      </w:pPr>
    </w:p>
    <w:p w14:paraId="11F9E546">
      <w:pPr>
        <w:pStyle w:val="3"/>
        <w:ind w:left="0" w:leftChars="0" w:right="1470" w:firstLine="0" w:firstLineChars="0"/>
        <w:rPr>
          <w:rFonts w:ascii="仿宋" w:hAnsi="仿宋" w:eastAsia="仿宋" w:cs="仿宋"/>
          <w:color w:val="000000"/>
          <w:kern w:val="0"/>
          <w:sz w:val="28"/>
          <w:szCs w:val="28"/>
          <w:lang w:bidi="ar"/>
        </w:rPr>
      </w:pPr>
    </w:p>
    <w:p w14:paraId="4EDBE04D"/>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embedSystemFonts/>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IyZDUxMmU3NmEwMTE5M2Q5ZTg0MGVmOGY5OWRhMDQifQ=="/>
  </w:docVars>
  <w:rsids>
    <w:rsidRoot w:val="4B54433E"/>
    <w:rsid w:val="003E11A7"/>
    <w:rsid w:val="00492E8A"/>
    <w:rsid w:val="00581A7C"/>
    <w:rsid w:val="00CF74BF"/>
    <w:rsid w:val="00E122A4"/>
    <w:rsid w:val="00E1649B"/>
    <w:rsid w:val="059D3F6C"/>
    <w:rsid w:val="0B2C2F1E"/>
    <w:rsid w:val="11602C61"/>
    <w:rsid w:val="12D710D4"/>
    <w:rsid w:val="15C44DDC"/>
    <w:rsid w:val="1A6E47A8"/>
    <w:rsid w:val="22A47852"/>
    <w:rsid w:val="22CF5224"/>
    <w:rsid w:val="2A7F096B"/>
    <w:rsid w:val="2BA9457F"/>
    <w:rsid w:val="34112F76"/>
    <w:rsid w:val="3CEF205F"/>
    <w:rsid w:val="3EE1306B"/>
    <w:rsid w:val="4514180F"/>
    <w:rsid w:val="47727F60"/>
    <w:rsid w:val="4B54433E"/>
    <w:rsid w:val="5E9A452C"/>
    <w:rsid w:val="63204AAA"/>
    <w:rsid w:val="737A4DCC"/>
    <w:rsid w:val="7B4C7F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