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DE02B">
      <w:pPr>
        <w:ind w:firstLine="105" w:firstLineChars="50"/>
        <w:rPr>
          <w:rFonts w:hint="default" w:eastAsia="宋体"/>
          <w:highlight w:val="none"/>
          <w:lang w:val="en-US" w:eastAsia="zh-CN"/>
        </w:rPr>
      </w:pPr>
      <w:r>
        <w:t xml:space="preserve">证券代码：000875         </w:t>
      </w:r>
      <w:r>
        <w:rPr>
          <w:rFonts w:hint="eastAsia"/>
        </w:rPr>
        <w:t xml:space="preserve">  </w:t>
      </w:r>
      <w:r>
        <w:t xml:space="preserve"> 证券简称：吉电股份       </w:t>
      </w:r>
      <w:r>
        <w:rPr>
          <w:rFonts w:hint="eastAsia"/>
        </w:rPr>
        <w:t xml:space="preserve"> </w:t>
      </w:r>
      <w:r>
        <w:t xml:space="preserve">     </w:t>
      </w:r>
      <w:r>
        <w:rPr>
          <w:rFonts w:hint="eastAsia"/>
          <w:lang w:val="en-US" w:eastAsia="zh-CN"/>
        </w:rPr>
        <w:t xml:space="preserve">  </w:t>
      </w:r>
      <w:r>
        <w:t xml:space="preserve"> 公告编号：20</w:t>
      </w:r>
      <w:r>
        <w:rPr>
          <w:rFonts w:hint="eastAsia"/>
        </w:rPr>
        <w:t>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10</w:t>
      </w:r>
      <w:r>
        <w:rPr>
          <w:rFonts w:hint="eastAsia"/>
          <w:highlight w:val="none"/>
          <w:lang w:val="en-US" w:eastAsia="zh-CN"/>
        </w:rPr>
        <w:t>7</w:t>
      </w:r>
    </w:p>
    <w:p w14:paraId="031CE46A">
      <w:pPr>
        <w:rPr>
          <w:u w:val="single"/>
        </w:rPr>
      </w:pPr>
      <w:r>
        <w:rPr>
          <w:color w:val="FF6600"/>
        </w:rP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66675</wp:posOffset>
                </wp:positionH>
                <wp:positionV relativeFrom="paragraph">
                  <wp:posOffset>25400</wp:posOffset>
                </wp:positionV>
                <wp:extent cx="5417820" cy="22860"/>
                <wp:effectExtent l="0" t="28575" r="7620" b="40005"/>
                <wp:wrapNone/>
                <wp:docPr id="1026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17820" cy="22860"/>
                        </a:xfrm>
                        <a:prstGeom prst="line">
                          <a:avLst/>
                        </a:prstGeom>
                        <a:ln w="57150" cap="flat" cmpd="thinThick">
                          <a:solidFill>
                            <a:srgbClr val="FF66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flip:y;margin-left:5.25pt;margin-top:2pt;height:1.8pt;width:426.6pt;z-index:251659264;mso-width-relative:page;mso-height-relative:page;" filled="f" stroked="t" coordsize="21600,21600" o:gfxdata="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i5vAuNMAAAAGAQAADwAAAAAAAAABACAAAAAiAAAAZHJzL2Rvd25yZXYueG1sUEsBAhQA&#10;FAAAAAgAh07iQLb/7vL3AQAA8QMAAA4AAAAAAAAAAQAgAAAAIgEAAGRycy9lMm9Eb2MueG1sUEsF&#10;BgAAAAAGAAYAWQEAAIsFAAAAAA==&#10;">
                <v:fill on="f" focussize="0,0"/>
                <v:stroke weight="4.5pt" color="#FF6600" linestyle="thinThick" joinstyle="round"/>
                <v:imagedata o:title=""/>
                <o:lock v:ext="edit" aspectratio="f"/>
              </v:line>
            </w:pict>
          </mc:Fallback>
        </mc:AlternateContent>
      </w:r>
    </w:p>
    <w:p w14:paraId="7BCD8C3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40" w:lineRule="exact"/>
        <w:jc w:val="center"/>
        <w:textAlignment w:val="auto"/>
        <w:rPr>
          <w:rFonts w:hint="eastAsia"/>
          <w:b/>
          <w:sz w:val="44"/>
          <w:szCs w:val="44"/>
        </w:rPr>
      </w:pPr>
    </w:p>
    <w:p w14:paraId="5F456497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吉林电力股份有限公司</w:t>
      </w:r>
    </w:p>
    <w:p w14:paraId="692B1F3C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600" w:lineRule="exact"/>
        <w:jc w:val="center"/>
        <w:textAlignment w:val="auto"/>
        <w:rPr>
          <w:rFonts w:hint="eastAsia" w:ascii="宋体" w:hAnsi="宋体" w:eastAsia="宋体" w:cs="宋体"/>
          <w:b/>
          <w:bCs w:val="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sz w:val="44"/>
          <w:szCs w:val="44"/>
        </w:rPr>
        <w:t>关于</w:t>
      </w:r>
      <w:r>
        <w:rPr>
          <w:rFonts w:hint="eastAsia" w:ascii="宋体" w:hAnsi="宋体" w:eastAsia="宋体" w:cs="宋体"/>
          <w:b/>
          <w:bCs w:val="0"/>
          <w:sz w:val="44"/>
          <w:szCs w:val="44"/>
          <w:lang w:val="en-US" w:eastAsia="zh-CN"/>
        </w:rPr>
        <w:t>公司获得项目核准</w:t>
      </w:r>
      <w:r>
        <w:rPr>
          <w:rFonts w:hint="eastAsia" w:ascii="宋体" w:hAnsi="宋体" w:eastAsia="宋体" w:cs="宋体"/>
          <w:b/>
          <w:bCs w:val="0"/>
          <w:sz w:val="44"/>
          <w:szCs w:val="44"/>
        </w:rPr>
        <w:t xml:space="preserve">的公告 </w:t>
      </w:r>
    </w:p>
    <w:p w14:paraId="56A21273">
      <w:pPr>
        <w:pStyle w:val="1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华文仿宋" w:hAnsi="华文仿宋" w:eastAsia="华文仿宋" w:cs="宋体"/>
          <w:sz w:val="32"/>
          <w:szCs w:val="32"/>
        </w:rPr>
      </w:pPr>
    </w:p>
    <w:p w14:paraId="067532F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600" w:lineRule="exact"/>
        <w:ind w:firstLine="562" w:firstLineChars="200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本公司及董事会全体成员保证信息披露的内容真实、准确、完整，没有虚假记载、误导性陈述或重大遗漏。</w:t>
      </w:r>
    </w:p>
    <w:p w14:paraId="0DB64F9A">
      <w:pPr>
        <w:pStyle w:val="15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600" w:lineRule="exact"/>
        <w:textAlignment w:val="auto"/>
        <w:rPr>
          <w:rFonts w:hint="eastAsia" w:ascii="华文仿宋" w:hAnsi="华文仿宋" w:eastAsia="华文仿宋" w:cs="宋体"/>
          <w:sz w:val="32"/>
          <w:szCs w:val="32"/>
        </w:rPr>
      </w:pPr>
    </w:p>
    <w:p w14:paraId="7FF819A9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近日，吉林电力股份有限公司（以下简称“公司”）收到吉林省发展和改革委员会的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项目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核准批复，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公司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400WM风电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项目、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1320MW煤电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项目获得核准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。主要受此影响，2024年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，公司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累计新增备案、核准</w:t>
      </w:r>
      <w:r>
        <w:rPr>
          <w:rFonts w:hint="eastAsia" w:hAnsi="仿宋" w:eastAsia="仿宋"/>
          <w:b w:val="0"/>
          <w:bCs w:val="0"/>
          <w:color w:val="000000"/>
          <w:kern w:val="0"/>
          <w:sz w:val="28"/>
          <w:szCs w:val="28"/>
          <w:lang w:val="en-US" w:eastAsia="zh-CN"/>
        </w:rPr>
        <w:t>项目容量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2021MW</w:t>
      </w:r>
      <w:r>
        <w:rPr>
          <w:rFonts w:hint="eastAsia" w:hAnsi="仿宋" w:eastAsia="仿宋"/>
          <w:b w:val="0"/>
          <w:bCs w:val="0"/>
          <w:color w:val="000000"/>
          <w:kern w:val="0"/>
          <w:sz w:val="28"/>
          <w:szCs w:val="28"/>
          <w:lang w:val="en-US" w:eastAsia="zh-CN"/>
        </w:rPr>
        <w:t>，达到公司上年度总装机容量的10%以上。</w:t>
      </w:r>
      <w:r>
        <w:rPr>
          <w:rFonts w:hint="default" w:hAnsi="仿宋" w:eastAsia="仿宋"/>
          <w:b w:val="0"/>
          <w:bCs w:val="0"/>
          <w:color w:val="000000"/>
          <w:kern w:val="0"/>
          <w:sz w:val="28"/>
          <w:szCs w:val="28"/>
          <w:lang w:val="en-US" w:eastAsia="zh-CN"/>
        </w:rPr>
        <w:t>根据</w:t>
      </w:r>
      <w:r>
        <w:rPr>
          <w:rFonts w:hint="eastAsia" w:hAnsi="仿宋" w:eastAsia="仿宋"/>
          <w:b w:val="0"/>
          <w:bCs w:val="0"/>
          <w:color w:val="000000"/>
          <w:kern w:val="0"/>
          <w:sz w:val="28"/>
          <w:szCs w:val="28"/>
          <w:lang w:val="en-US" w:eastAsia="zh-CN"/>
        </w:rPr>
        <w:t>《深圳证券交易所上市公司自律监管指引第3号——行业信息披露（2023年修订）》</w:t>
      </w:r>
      <w:r>
        <w:rPr>
          <w:rFonts w:hint="default" w:hAnsi="仿宋" w:eastAsia="仿宋"/>
          <w:b w:val="0"/>
          <w:bCs w:val="0"/>
          <w:color w:val="000000"/>
          <w:kern w:val="0"/>
          <w:sz w:val="28"/>
          <w:szCs w:val="28"/>
          <w:lang w:val="en-US" w:eastAsia="zh-CN"/>
        </w:rPr>
        <w:t>，</w:t>
      </w:r>
      <w:r>
        <w:rPr>
          <w:rFonts w:hint="eastAsia" w:hAnsi="仿宋" w:eastAsia="仿宋"/>
          <w:b w:val="0"/>
          <w:bCs w:val="0"/>
          <w:color w:val="000000"/>
          <w:kern w:val="0"/>
          <w:sz w:val="28"/>
          <w:szCs w:val="28"/>
          <w:lang w:val="en-US" w:eastAsia="zh-CN"/>
        </w:rPr>
        <w:t>现将有关情况公告如下：</w:t>
      </w:r>
    </w:p>
    <w:p w14:paraId="3CA579DC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2" w:firstLineChars="200"/>
        <w:textAlignment w:val="auto"/>
        <w:outlineLvl w:val="9"/>
        <w:rPr>
          <w:rFonts w:hint="eastAsia" w:hAnsi="仿宋" w:eastAsia="仿宋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hAnsi="仿宋" w:eastAsia="仿宋"/>
          <w:b/>
          <w:bCs/>
          <w:color w:val="000000"/>
          <w:kern w:val="0"/>
          <w:sz w:val="28"/>
          <w:szCs w:val="28"/>
          <w:lang w:val="en-US" w:eastAsia="zh-CN"/>
        </w:rPr>
        <w:t>一、本次项目核准获取情况概述</w:t>
      </w:r>
    </w:p>
    <w:p w14:paraId="6AFD0A3A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1.关于梨树风光制绿氢生物质耦合绿色甲醇项目（风电部分）</w:t>
      </w:r>
    </w:p>
    <w:p w14:paraId="76ECA526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2024年12月27日，吉林省发展和改革委员会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出具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《关于梨树风光制绿氢生物质耦合绿色甲醇项目（风电部分）核准的批复》，公司控股子公司吉远（四平）绿色能源有限公司取得梨树风光制绿氢生物质耦合绿色甲醇项目（风电部分）核准，建设规模400MW，建设地点四平市梨树县，建设期限18个月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47E2C174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2.吉林电力股份有限公司白城发电公司2</w:t>
      </w:r>
      <w:r>
        <w:rPr>
          <w:rFonts w:hint="default" w:ascii="Arial" w:hAnsi="Arial" w:eastAsia="仿宋" w:cs="Arial"/>
          <w:color w:val="auto"/>
          <w:kern w:val="2"/>
          <w:sz w:val="28"/>
          <w:szCs w:val="28"/>
          <w:lang w:val="en-US" w:eastAsia="zh-CN" w:bidi="ar-SA"/>
        </w:rPr>
        <w:t>×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66万千瓦保供煤电项目</w:t>
      </w:r>
    </w:p>
    <w:p w14:paraId="1C897CA4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2024年12月27日，吉林省发展和改革委员会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出具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《关于吉林电力股份有限公司白城发电公司2</w:t>
      </w:r>
      <w:r>
        <w:rPr>
          <w:rFonts w:hint="default" w:ascii="Arial" w:hAnsi="Arial" w:eastAsia="仿宋" w:cs="Arial"/>
          <w:color w:val="auto"/>
          <w:kern w:val="2"/>
          <w:sz w:val="28"/>
          <w:szCs w:val="28"/>
          <w:lang w:val="en-US" w:eastAsia="zh-CN" w:bidi="ar-SA"/>
        </w:rPr>
        <w:t>×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66万千瓦保供煤电项目核准的批复》，公司全资子公司白城吉电瀚海发电有限公司取得2</w:t>
      </w:r>
      <w:r>
        <w:rPr>
          <w:rFonts w:hint="default" w:ascii="Arial" w:hAnsi="Arial" w:eastAsia="仿宋" w:cs="Arial"/>
          <w:color w:val="auto"/>
          <w:kern w:val="2"/>
          <w:sz w:val="28"/>
          <w:szCs w:val="28"/>
          <w:lang w:val="en-US" w:eastAsia="zh-CN" w:bidi="ar-SA"/>
        </w:rPr>
        <w:t>×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660WM保供煤电项目核准，建设规模2</w:t>
      </w:r>
      <w:r>
        <w:rPr>
          <w:rFonts w:hint="default" w:ascii="Arial" w:hAnsi="Arial" w:eastAsia="仿宋" w:cs="Arial"/>
          <w:color w:val="auto"/>
          <w:kern w:val="2"/>
          <w:sz w:val="28"/>
          <w:szCs w:val="28"/>
          <w:lang w:val="en-US" w:eastAsia="zh-CN" w:bidi="ar-SA"/>
        </w:rPr>
        <w:t>×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660MW，建设地点白城市洮北区</w:t>
      </w:r>
      <w:bookmarkStart w:id="0" w:name="_GoBack"/>
      <w:bookmarkEnd w:id="0"/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，建设期限28个月。</w:t>
      </w:r>
    </w:p>
    <w:p w14:paraId="3A65BA26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2" w:firstLineChars="200"/>
        <w:textAlignment w:val="auto"/>
        <w:outlineLvl w:val="9"/>
        <w:rPr>
          <w:rFonts w:hint="default" w:ascii="Times New Roman" w:hAnsi="仿宋" w:eastAsia="仿宋" w:cs="仿宋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仿宋" w:eastAsia="仿宋" w:cs="仿宋"/>
          <w:b/>
          <w:bCs/>
          <w:color w:val="auto"/>
          <w:kern w:val="2"/>
          <w:sz w:val="28"/>
          <w:szCs w:val="28"/>
          <w:lang w:val="en-US" w:eastAsia="zh-CN" w:bidi="ar-SA"/>
        </w:rPr>
        <w:t>二、2024年累计获得项目备案、核准情况</w:t>
      </w:r>
    </w:p>
    <w:p w14:paraId="09A4982A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截至目前，公司获取备案及核准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项目容量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2021MW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，其中：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光伏160MW，风电541MW，煤电1320MW。</w:t>
      </w:r>
    </w:p>
    <w:p w14:paraId="2040CC0D">
      <w:pPr>
        <w:pStyle w:val="15"/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2" w:firstLineChars="200"/>
        <w:textAlignment w:val="auto"/>
        <w:outlineLvl w:val="9"/>
        <w:rPr>
          <w:rFonts w:hint="eastAsia" w:ascii="Times New Roman" w:hAnsi="仿宋" w:eastAsia="仿宋" w:cs="仿宋"/>
          <w:b/>
          <w:bCs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仿宋" w:eastAsia="仿宋" w:cs="仿宋"/>
          <w:b/>
          <w:bCs/>
          <w:color w:val="auto"/>
          <w:kern w:val="2"/>
          <w:sz w:val="28"/>
          <w:szCs w:val="28"/>
          <w:lang w:val="en-US" w:eastAsia="zh-CN" w:bidi="ar-SA"/>
        </w:rPr>
        <w:t>三、对公司的影响</w:t>
      </w:r>
    </w:p>
    <w:p w14:paraId="4C9FEE07">
      <w:pPr>
        <w:pStyle w:val="15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right="0" w:rightChars="0" w:firstLine="560" w:firstLineChars="200"/>
        <w:textAlignment w:val="auto"/>
        <w:outlineLvl w:val="9"/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上述</w:t>
      </w:r>
      <w:r>
        <w:rPr>
          <w:rFonts w:hint="default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项目</w:t>
      </w:r>
      <w:r>
        <w:rPr>
          <w:rFonts w:hint="eastAsia" w:ascii="Times New Roman" w:hAnsi="仿宋" w:eastAsia="仿宋" w:cs="仿宋"/>
          <w:color w:val="auto"/>
          <w:kern w:val="2"/>
          <w:sz w:val="28"/>
          <w:szCs w:val="28"/>
          <w:lang w:val="en-US" w:eastAsia="zh-CN" w:bidi="ar-SA"/>
        </w:rPr>
        <w:t>核准的获取有利于进一步增加公司资源储备，增强公司可持续发展能力；有利于提升公司后续装机规模及整体盈利能力，促进公司创新发展，助推公司战略目标实现。</w:t>
      </w:r>
    </w:p>
    <w:p w14:paraId="1171C3D7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2" w:firstLineChars="200"/>
        <w:textAlignment w:val="auto"/>
        <w:outlineLvl w:val="9"/>
        <w:rPr>
          <w:rFonts w:hint="eastAsia" w:hAnsi="仿宋" w:eastAsia="仿宋"/>
          <w:b/>
          <w:bCs/>
          <w:color w:val="000000"/>
          <w:kern w:val="0"/>
          <w:sz w:val="28"/>
          <w:szCs w:val="28"/>
        </w:rPr>
      </w:pPr>
      <w:r>
        <w:rPr>
          <w:rFonts w:hint="eastAsia" w:hAnsi="仿宋" w:eastAsia="仿宋"/>
          <w:b/>
          <w:bCs/>
          <w:color w:val="000000"/>
          <w:kern w:val="0"/>
          <w:sz w:val="28"/>
          <w:szCs w:val="28"/>
          <w:lang w:val="en-US" w:eastAsia="zh-CN"/>
        </w:rPr>
        <w:t>四、</w:t>
      </w:r>
      <w:r>
        <w:rPr>
          <w:rFonts w:hint="eastAsia" w:hAnsi="仿宋" w:eastAsia="仿宋"/>
          <w:b/>
          <w:bCs/>
          <w:color w:val="000000"/>
          <w:kern w:val="0"/>
          <w:sz w:val="28"/>
          <w:szCs w:val="28"/>
        </w:rPr>
        <w:t xml:space="preserve">风险提示 </w:t>
      </w:r>
    </w:p>
    <w:p w14:paraId="0DE03588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本公告事项仅为获得政府部门对项目的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建设</w:t>
      </w:r>
      <w:r>
        <w:rPr>
          <w:rFonts w:hint="eastAsia" w:ascii="Times New Roman" w:eastAsia="仿宋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核准</w:t>
      </w:r>
      <w:r>
        <w:rPr>
          <w:rFonts w:hint="default" w:ascii="Times New Roman" w:hAnsi="Times New Roman" w:eastAsia="仿宋" w:cs="Times New Roman"/>
          <w:b w:val="0"/>
          <w:bCs w:val="0"/>
          <w:color w:val="000000"/>
          <w:kern w:val="0"/>
          <w:sz w:val="28"/>
          <w:szCs w:val="28"/>
        </w:rPr>
        <w:t>，项目的投资建设尚需公司董事会或股东会等有权机构决策。</w:t>
      </w:r>
    </w:p>
    <w:p w14:paraId="066052FB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hint="eastAsia" w:hAnsi="仿宋" w:eastAsia="仿宋"/>
          <w:b w:val="0"/>
          <w:bCs w:val="0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28"/>
          <w:szCs w:val="28"/>
        </w:rPr>
        <w:t>2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28"/>
          <w:szCs w:val="28"/>
          <w:lang w:eastAsia="zh-CN"/>
        </w:rPr>
        <w:t>.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28"/>
          <w:szCs w:val="28"/>
          <w:lang w:val="en-US" w:eastAsia="zh-CN"/>
        </w:rPr>
        <w:t>上述取得</w:t>
      </w:r>
      <w:r>
        <w:rPr>
          <w:rFonts w:hint="eastAsia" w:ascii="Times New Roman" w:eastAsia="仿宋" w:cs="Times New Roman"/>
          <w:b w:val="0"/>
          <w:bCs w:val="0"/>
          <w:color w:val="auto"/>
          <w:kern w:val="0"/>
          <w:sz w:val="28"/>
          <w:szCs w:val="28"/>
          <w:lang w:val="en-US" w:eastAsia="zh-CN"/>
        </w:rPr>
        <w:t>核准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28"/>
          <w:szCs w:val="28"/>
          <w:lang w:val="en-US" w:eastAsia="zh-CN"/>
        </w:rPr>
        <w:t>的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28"/>
          <w:szCs w:val="28"/>
        </w:rPr>
        <w:t>项目，决策开工建设前尚需开展土地预审、环境影响评价、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0"/>
          <w:sz w:val="28"/>
          <w:szCs w:val="28"/>
          <w:lang w:val="en-US" w:eastAsia="zh-CN"/>
        </w:rPr>
        <w:t>水土保持、接入系</w:t>
      </w:r>
      <w:r>
        <w:rPr>
          <w:rFonts w:hint="eastAsia" w:hAnsi="仿宋" w:eastAsia="仿宋"/>
          <w:b w:val="0"/>
          <w:bCs w:val="0"/>
          <w:color w:val="auto"/>
          <w:kern w:val="0"/>
          <w:sz w:val="28"/>
          <w:szCs w:val="28"/>
          <w:lang w:val="en-US" w:eastAsia="zh-CN"/>
        </w:rPr>
        <w:t>统方案批复</w:t>
      </w:r>
      <w:r>
        <w:rPr>
          <w:rFonts w:hint="eastAsia" w:hAnsi="仿宋" w:eastAsia="仿宋"/>
          <w:b w:val="0"/>
          <w:bCs w:val="0"/>
          <w:color w:val="auto"/>
          <w:kern w:val="0"/>
          <w:sz w:val="28"/>
          <w:szCs w:val="28"/>
        </w:rPr>
        <w:t>等项目前期工作。</w:t>
      </w:r>
    </w:p>
    <w:p w14:paraId="785628D7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eastAsia="仿宋" w:cs="Times New Roman"/>
          <w:b w:val="0"/>
          <w:bCs w:val="0"/>
          <w:sz w:val="28"/>
          <w:szCs w:val="28"/>
        </w:rPr>
      </w:pPr>
      <w:r>
        <w:rPr>
          <w:rFonts w:hint="eastAsia" w:hAnsi="仿宋" w:eastAsia="仿宋"/>
          <w:b w:val="0"/>
          <w:bCs w:val="0"/>
          <w:color w:val="000000"/>
          <w:kern w:val="0"/>
          <w:sz w:val="28"/>
          <w:szCs w:val="28"/>
        </w:rPr>
        <w:t>公司将积极推进相关后续项目前期、投资决策、资金筹措等工作，并及时履行信息披露义务，请广大投资者注意投资风险。</w:t>
      </w:r>
    </w:p>
    <w:p w14:paraId="6EE268DA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ascii="Times New Roman" w:hAnsi="仿宋" w:eastAsia="仿宋" w:cs="Times New Roman"/>
          <w:sz w:val="28"/>
          <w:szCs w:val="28"/>
        </w:rPr>
      </w:pPr>
    </w:p>
    <w:p w14:paraId="77F3F2B9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ascii="Times New Roman" w:eastAsia="仿宋" w:cs="Times New Roman"/>
          <w:sz w:val="28"/>
          <w:szCs w:val="28"/>
        </w:rPr>
      </w:pPr>
      <w:r>
        <w:rPr>
          <w:rFonts w:ascii="Times New Roman" w:hAnsi="仿宋" w:eastAsia="仿宋" w:cs="Times New Roman"/>
          <w:sz w:val="28"/>
          <w:szCs w:val="28"/>
        </w:rPr>
        <w:t>特此公告。</w:t>
      </w:r>
      <w:r>
        <w:rPr>
          <w:rFonts w:ascii="Times New Roman" w:eastAsia="仿宋" w:cs="Times New Roman"/>
          <w:sz w:val="28"/>
          <w:szCs w:val="28"/>
        </w:rPr>
        <w:t xml:space="preserve">      </w:t>
      </w:r>
    </w:p>
    <w:p w14:paraId="6389F8E4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hint="eastAsia" w:ascii="Times New Roman" w:eastAsia="仿宋" w:cs="Times New Roman"/>
          <w:sz w:val="28"/>
          <w:szCs w:val="28"/>
          <w:lang w:val="en-US" w:eastAsia="zh-CN"/>
        </w:rPr>
      </w:pPr>
      <w:r>
        <w:rPr>
          <w:rFonts w:ascii="Times New Roman" w:eastAsia="仿宋" w:cs="Times New Roman"/>
          <w:sz w:val="28"/>
          <w:szCs w:val="28"/>
        </w:rPr>
        <w:t xml:space="preserve">                  </w:t>
      </w:r>
      <w:r>
        <w:rPr>
          <w:rFonts w:hint="eastAsia" w:ascii="Times New Roman" w:eastAsia="仿宋" w:cs="Times New Roman"/>
          <w:sz w:val="28"/>
          <w:szCs w:val="28"/>
          <w:lang w:val="en-US" w:eastAsia="zh-CN"/>
        </w:rPr>
        <w:t xml:space="preserve">             </w:t>
      </w:r>
    </w:p>
    <w:p w14:paraId="731DDBAF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jc w:val="right"/>
        <w:textAlignment w:val="auto"/>
        <w:outlineLvl w:val="9"/>
        <w:rPr>
          <w:rFonts w:ascii="Times New Roman" w:eastAsia="仿宋" w:cs="Times New Roman"/>
          <w:sz w:val="28"/>
          <w:szCs w:val="28"/>
        </w:rPr>
      </w:pPr>
      <w:r>
        <w:rPr>
          <w:rFonts w:ascii="Times New Roman" w:hAnsi="仿宋" w:eastAsia="仿宋" w:cs="Times New Roman"/>
          <w:sz w:val="28"/>
          <w:szCs w:val="28"/>
        </w:rPr>
        <w:t>吉林电力股份有限公司董事会</w:t>
      </w:r>
    </w:p>
    <w:p w14:paraId="227AC782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left="0" w:leftChars="0" w:right="0" w:rightChars="0" w:firstLine="560" w:firstLineChars="200"/>
        <w:textAlignment w:val="auto"/>
        <w:outlineLvl w:val="9"/>
        <w:rPr>
          <w:rFonts w:ascii="Times New Roman" w:eastAsia="仿宋" w:cs="Times New Roman"/>
          <w:sz w:val="28"/>
          <w:szCs w:val="28"/>
        </w:rPr>
      </w:pPr>
      <w:r>
        <w:rPr>
          <w:rFonts w:ascii="Times New Roman" w:eastAsia="仿宋" w:cs="Times New Roman"/>
          <w:sz w:val="28"/>
          <w:szCs w:val="28"/>
        </w:rPr>
        <w:t xml:space="preserve">                                </w:t>
      </w:r>
      <w:r>
        <w:rPr>
          <w:rFonts w:hint="eastAsia" w:ascii="Times New Roman" w:eastAsia="仿宋" w:cs="Times New Roman"/>
          <w:sz w:val="28"/>
          <w:szCs w:val="28"/>
        </w:rPr>
        <w:t xml:space="preserve">  </w:t>
      </w:r>
      <w:r>
        <w:rPr>
          <w:rFonts w:ascii="Times New Roman" w:hAnsi="仿宋" w:eastAsia="仿宋" w:cs="Times New Roman"/>
          <w:sz w:val="28"/>
          <w:szCs w:val="28"/>
        </w:rPr>
        <w:t>二</w:t>
      </w:r>
      <w:r>
        <w:rPr>
          <w:rFonts w:hint="eastAsia" w:ascii="Times New Roman" w:eastAsia="仿宋" w:cs="Times New Roman"/>
          <w:sz w:val="28"/>
          <w:szCs w:val="28"/>
          <w:lang w:val="en-US" w:eastAsia="zh-CN"/>
        </w:rPr>
        <w:t>〇</w:t>
      </w:r>
      <w:r>
        <w:rPr>
          <w:rFonts w:ascii="Times New Roman" w:hAnsi="仿宋" w:eastAsia="仿宋" w:cs="Times New Roman"/>
          <w:sz w:val="28"/>
          <w:szCs w:val="28"/>
        </w:rPr>
        <w:t>二</w:t>
      </w:r>
      <w:r>
        <w:rPr>
          <w:rFonts w:hint="eastAsia" w:ascii="Times New Roman" w:eastAsia="仿宋" w:cs="Times New Roman"/>
          <w:sz w:val="28"/>
          <w:szCs w:val="28"/>
          <w:lang w:val="en-US" w:eastAsia="zh-CN"/>
        </w:rPr>
        <w:t>四</w:t>
      </w:r>
      <w:r>
        <w:rPr>
          <w:rFonts w:ascii="Times New Roman" w:hAnsi="仿宋" w:eastAsia="仿宋" w:cs="Times New Roman"/>
          <w:sz w:val="28"/>
          <w:szCs w:val="28"/>
        </w:rPr>
        <w:t>年</w:t>
      </w:r>
      <w:r>
        <w:rPr>
          <w:rFonts w:hint="eastAsia" w:ascii="Times New Roman" w:hAnsi="仿宋" w:eastAsia="仿宋" w:cs="Times New Roman"/>
          <w:sz w:val="28"/>
          <w:szCs w:val="28"/>
          <w:lang w:val="en-US" w:eastAsia="zh-CN"/>
        </w:rPr>
        <w:t>十二</w:t>
      </w:r>
      <w:r>
        <w:rPr>
          <w:rFonts w:ascii="Times New Roman" w:hAnsi="仿宋" w:eastAsia="仿宋" w:cs="Times New Roman"/>
          <w:sz w:val="28"/>
          <w:szCs w:val="28"/>
        </w:rPr>
        <w:t>月</w:t>
      </w:r>
      <w:r>
        <w:rPr>
          <w:rFonts w:hint="eastAsia" w:ascii="Times New Roman" w:hAnsi="仿宋" w:eastAsia="仿宋" w:cs="Times New Roman"/>
          <w:sz w:val="28"/>
          <w:szCs w:val="28"/>
          <w:lang w:val="en-US" w:eastAsia="zh-CN"/>
        </w:rPr>
        <w:t>三十</w:t>
      </w:r>
      <w:r>
        <w:rPr>
          <w:rFonts w:ascii="Times New Roman" w:hAnsi="仿宋" w:eastAsia="仿宋" w:cs="Times New Roman"/>
          <w:sz w:val="28"/>
          <w:szCs w:val="28"/>
        </w:rPr>
        <w:t>日</w:t>
      </w:r>
    </w:p>
    <w:sectPr>
      <w:headerReference r:id="rId3" w:type="default"/>
      <w:footerReference r:id="rId4" w:type="default"/>
      <w:footerReference r:id="rId5" w:type="even"/>
      <w:type w:val="continuous"/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4F408C"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3</w:t>
    </w:r>
    <w:r>
      <w:fldChar w:fldCharType="end"/>
    </w:r>
  </w:p>
  <w:p w14:paraId="46F695C8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3EB144"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 w14:paraId="6E074D2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26DB2"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063E2"/>
    <w:rsid w:val="1D2957C0"/>
    <w:rsid w:val="317D066B"/>
    <w:rsid w:val="34631C14"/>
    <w:rsid w:val="59E323D3"/>
    <w:rsid w:val="6CAC55C3"/>
    <w:rsid w:val="7C7F3949"/>
    <w:rsid w:val="7CE929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