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84C9C">
      <w:pPr>
        <w:spacing w:line="360" w:lineRule="exact"/>
        <w:rPr>
          <w:rFonts w:hint="default" w:ascii="Times New Roman" w:hAnsi="Times New Roman" w:eastAsia="宋体" w:cs="Times New Roman"/>
          <w:lang w:val="en-US" w:eastAsia="zh-CN"/>
        </w:rPr>
      </w:pPr>
      <w:r>
        <w:rPr>
          <w:rFonts w:ascii="Times New Roman" w:hAnsi="Times New Roman" w:eastAsia="宋体" w:cs="Times New Roman"/>
        </w:rPr>
        <w:t>证券代码：000875            证券简称：吉电股份              公告编号：202</w:t>
      </w:r>
      <w:r>
        <w:rPr>
          <w:rFonts w:hint="eastAsia" w:ascii="Times New Roman" w:hAnsi="Times New Roman" w:eastAsia="宋体" w:cs="Times New Roman"/>
          <w:lang w:val="en-US" w:eastAsia="zh-CN"/>
        </w:rPr>
        <w:t>4</w:t>
      </w:r>
      <w:r>
        <w:rPr>
          <w:rFonts w:ascii="Times New Roman" w:hAnsi="Times New Roman" w:eastAsia="宋体" w:cs="Times New Roman"/>
        </w:rPr>
        <w:t>-</w:t>
      </w:r>
      <w:r>
        <w:rPr>
          <w:rFonts w:hint="eastAsia" w:cs="Times New Roman"/>
          <w:lang w:val="en-US" w:eastAsia="zh-CN"/>
        </w:rPr>
        <w:t>108</w:t>
      </w:r>
    </w:p>
    <w:p w14:paraId="1CC6B11F">
      <w:pPr>
        <w:spacing w:line="580" w:lineRule="exact"/>
        <w:rPr>
          <w:rFonts w:ascii="Times New Roman" w:hAnsi="Times New Roman" w:cs="Times New Roman"/>
          <w:u w:val="single"/>
        </w:rPr>
      </w:pPr>
      <w:r>
        <w:rPr>
          <w:rFonts w:ascii="Times New Roman" w:hAnsi="Times New Roman" w:cs="Times New Roman"/>
          <w:color w:val="FF6600"/>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76200</wp:posOffset>
                </wp:positionV>
                <wp:extent cx="5417820" cy="22860"/>
                <wp:effectExtent l="0" t="28575" r="7620" b="40005"/>
                <wp:wrapNone/>
                <wp:docPr id="1" name="直线 2"/>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5.4pt;margin-top:6pt;height:1.8pt;width:426.6pt;z-index:251659264;mso-width-relative:page;mso-height-relative:page;" filled="f" stroked="t" coordsize="21600,21600" o:gfxdata="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QcFs/WAAAACQEAAA8AAAAAAAAAAQAgAAAAIgAAAGRycy9kb3ducmV2LnhtbFBL&#10;AQIUABQAAAAIAIdO4kBTRW0n+AEAAPADAAAOAAAAAAAAAAEAIAAAACUBAABkcnMvZTJvRG9jLnht&#10;bFBLBQYAAAAABgAGAFkBAACPBQAAAAA=&#10;">
                <v:fill on="f" focussize="0,0"/>
                <v:stroke weight="4.5pt" color="#FF6600" linestyle="thinThick" joinstyle="round"/>
                <v:imagedata o:title=""/>
                <o:lock v:ext="edit" aspectratio="f"/>
              </v:line>
            </w:pict>
          </mc:Fallback>
        </mc:AlternateContent>
      </w:r>
    </w:p>
    <w:p w14:paraId="2E4E35F8">
      <w:pPr>
        <w:spacing w:line="580" w:lineRule="exact"/>
        <w:jc w:val="center"/>
        <w:rPr>
          <w:rFonts w:hint="eastAsia" w:ascii="Times New Roman" w:hAnsi="Times New Roman" w:eastAsia="宋体" w:cs="宋体"/>
          <w:b/>
          <w:sz w:val="44"/>
          <w:szCs w:val="44"/>
        </w:rPr>
      </w:pPr>
      <w:r>
        <w:rPr>
          <w:rFonts w:hint="eastAsia" w:ascii="Times New Roman" w:hAnsi="Times New Roman" w:eastAsia="宋体" w:cs="宋体"/>
          <w:b/>
          <w:sz w:val="44"/>
          <w:szCs w:val="44"/>
        </w:rPr>
        <w:t>吉林电力股份有限公司</w:t>
      </w:r>
    </w:p>
    <w:p w14:paraId="29786774">
      <w:pPr>
        <w:spacing w:line="580" w:lineRule="exact"/>
        <w:jc w:val="center"/>
        <w:rPr>
          <w:rFonts w:hint="eastAsia" w:ascii="Times New Roman" w:hAnsi="Times New Roman" w:eastAsia="宋体" w:cs="宋体"/>
          <w:b/>
          <w:sz w:val="44"/>
          <w:szCs w:val="44"/>
        </w:rPr>
      </w:pPr>
      <w:r>
        <w:rPr>
          <w:rFonts w:hint="eastAsia" w:ascii="Times New Roman" w:hAnsi="Times New Roman" w:eastAsia="宋体" w:cs="宋体"/>
          <w:b/>
          <w:sz w:val="44"/>
          <w:szCs w:val="44"/>
        </w:rPr>
        <w:t>第九届董事会第</w:t>
      </w:r>
      <w:r>
        <w:rPr>
          <w:rFonts w:hint="eastAsia" w:cs="宋体"/>
          <w:b/>
          <w:sz w:val="44"/>
          <w:szCs w:val="44"/>
          <w:lang w:val="en-US" w:eastAsia="zh-CN"/>
        </w:rPr>
        <w:t>二十八</w:t>
      </w:r>
      <w:r>
        <w:rPr>
          <w:rFonts w:hint="eastAsia" w:ascii="Times New Roman" w:hAnsi="Times New Roman" w:eastAsia="宋体" w:cs="宋体"/>
          <w:b/>
          <w:sz w:val="44"/>
          <w:szCs w:val="44"/>
        </w:rPr>
        <w:t>次会议决议公告</w:t>
      </w:r>
    </w:p>
    <w:p w14:paraId="5D79F9AF">
      <w:pPr>
        <w:spacing w:line="580" w:lineRule="exact"/>
        <w:jc w:val="center"/>
        <w:rPr>
          <w:rFonts w:ascii="Times New Roman" w:hAnsi="Times New Roman" w:cs="Times New Roman"/>
          <w:sz w:val="32"/>
          <w:szCs w:val="32"/>
        </w:rPr>
      </w:pPr>
    </w:p>
    <w:p w14:paraId="2E044A07">
      <w:pPr>
        <w:spacing w:line="580" w:lineRule="exact"/>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本公司及董事会全体成员保证信息披露内容的真实、准确和完整，没有虚假记载、误导性陈述或重大遗漏。</w:t>
      </w:r>
    </w:p>
    <w:p w14:paraId="763D12A1">
      <w:pPr>
        <w:tabs>
          <w:tab w:val="left" w:pos="6960"/>
        </w:tabs>
        <w:spacing w:line="58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ab/>
      </w:r>
    </w:p>
    <w:p w14:paraId="6DD9CA16">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600" w:lineRule="exact"/>
        <w:ind w:firstLine="551" w:firstLineChars="196"/>
        <w:jc w:val="left"/>
        <w:textAlignment w:val="auto"/>
        <w:rPr>
          <w:rFonts w:ascii="Times New Roman" w:hAnsi="Times New Roman" w:eastAsia="仿宋" w:cs="Times New Roman"/>
          <w:b/>
          <w:sz w:val="28"/>
          <w:szCs w:val="28"/>
        </w:rPr>
      </w:pPr>
      <w:r>
        <w:rPr>
          <w:rFonts w:ascii="Times New Roman" w:hAnsi="Times New Roman" w:eastAsia="仿宋" w:cs="Times New Roman"/>
          <w:b/>
          <w:sz w:val="28"/>
          <w:szCs w:val="28"/>
        </w:rPr>
        <w:t>一、董事会会议召开情况</w:t>
      </w:r>
    </w:p>
    <w:p w14:paraId="2DF63EC6">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600" w:lineRule="exact"/>
        <w:ind w:firstLine="548" w:firstLineChars="196"/>
        <w:jc w:val="left"/>
        <w:textAlignment w:val="auto"/>
        <w:rPr>
          <w:rFonts w:ascii="Times New Roman" w:hAnsi="Times New Roman" w:eastAsia="仿宋" w:cs="Times New Roman"/>
          <w:sz w:val="28"/>
          <w:szCs w:val="28"/>
        </w:rPr>
      </w:pPr>
      <w:r>
        <w:rPr>
          <w:rFonts w:ascii="Times New Roman" w:hAnsi="Times New Roman" w:eastAsia="仿宋" w:cs="Times New Roman"/>
          <w:sz w:val="28"/>
          <w:szCs w:val="28"/>
        </w:rPr>
        <w:t>1.吉林电力股份有限公司第九届董事会第</w:t>
      </w:r>
      <w:r>
        <w:rPr>
          <w:rFonts w:hint="eastAsia" w:eastAsia="仿宋" w:cs="Times New Roman"/>
          <w:sz w:val="28"/>
          <w:szCs w:val="28"/>
          <w:lang w:val="en-US" w:eastAsia="zh-CN"/>
        </w:rPr>
        <w:t>二十八</w:t>
      </w:r>
      <w:r>
        <w:rPr>
          <w:rFonts w:ascii="Times New Roman" w:hAnsi="Times New Roman" w:eastAsia="仿宋" w:cs="Times New Roman"/>
          <w:sz w:val="28"/>
          <w:szCs w:val="28"/>
        </w:rPr>
        <w:t>次会议通知于202</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年</w:t>
      </w:r>
      <w:r>
        <w:rPr>
          <w:rFonts w:hint="eastAsia" w:eastAsia="仿宋" w:cs="Times New Roman"/>
          <w:sz w:val="28"/>
          <w:szCs w:val="28"/>
          <w:lang w:val="en-US" w:eastAsia="zh-CN"/>
        </w:rPr>
        <w:t>12</w:t>
      </w:r>
      <w:r>
        <w:rPr>
          <w:rFonts w:ascii="Times New Roman" w:hAnsi="Times New Roman" w:eastAsia="仿宋" w:cs="Times New Roman"/>
          <w:sz w:val="28"/>
          <w:szCs w:val="28"/>
        </w:rPr>
        <w:t>月</w:t>
      </w:r>
      <w:r>
        <w:rPr>
          <w:rFonts w:hint="eastAsia" w:eastAsia="仿宋" w:cs="Times New Roman"/>
          <w:sz w:val="28"/>
          <w:szCs w:val="28"/>
          <w:lang w:val="en-US" w:eastAsia="zh-CN"/>
        </w:rPr>
        <w:t>20</w:t>
      </w:r>
      <w:r>
        <w:rPr>
          <w:rFonts w:ascii="Times New Roman" w:hAnsi="Times New Roman" w:eastAsia="仿宋" w:cs="Times New Roman"/>
          <w:sz w:val="28"/>
          <w:szCs w:val="28"/>
        </w:rPr>
        <w:t>日以电子邮件、书面送达等方式发出。</w:t>
      </w:r>
    </w:p>
    <w:p w14:paraId="0B6A0F49">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600" w:lineRule="exact"/>
        <w:ind w:firstLine="548" w:firstLineChars="196"/>
        <w:jc w:val="left"/>
        <w:textAlignment w:val="auto"/>
        <w:rPr>
          <w:rFonts w:ascii="Times New Roman" w:hAnsi="Times New Roman" w:eastAsia="仿宋" w:cs="Times New Roman"/>
          <w:sz w:val="28"/>
          <w:szCs w:val="28"/>
        </w:rPr>
      </w:pPr>
      <w:r>
        <w:rPr>
          <w:rFonts w:ascii="Times New Roman" w:hAnsi="Times New Roman" w:eastAsia="仿宋" w:cs="Times New Roman"/>
          <w:sz w:val="28"/>
          <w:szCs w:val="28"/>
        </w:rPr>
        <w:t>2.202</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年</w:t>
      </w:r>
      <w:r>
        <w:rPr>
          <w:rFonts w:hint="eastAsia" w:eastAsia="仿宋" w:cs="Times New Roman"/>
          <w:sz w:val="28"/>
          <w:szCs w:val="28"/>
          <w:lang w:val="en-US" w:eastAsia="zh-CN"/>
        </w:rPr>
        <w:t>12</w:t>
      </w:r>
      <w:r>
        <w:rPr>
          <w:rFonts w:ascii="Times New Roman" w:hAnsi="Times New Roman" w:eastAsia="仿宋" w:cs="Times New Roman"/>
          <w:sz w:val="28"/>
          <w:szCs w:val="28"/>
        </w:rPr>
        <w:t>月</w:t>
      </w:r>
      <w:r>
        <w:rPr>
          <w:rFonts w:hint="eastAsia" w:eastAsia="仿宋" w:cs="Times New Roman"/>
          <w:sz w:val="28"/>
          <w:szCs w:val="28"/>
          <w:lang w:val="en-US" w:eastAsia="zh-CN"/>
        </w:rPr>
        <w:t>30</w:t>
      </w:r>
      <w:r>
        <w:rPr>
          <w:rFonts w:ascii="Times New Roman" w:hAnsi="Times New Roman" w:eastAsia="仿宋" w:cs="Times New Roman"/>
          <w:sz w:val="28"/>
          <w:szCs w:val="28"/>
        </w:rPr>
        <w:t>日，公司第九届董事会第</w:t>
      </w:r>
      <w:r>
        <w:rPr>
          <w:rFonts w:hint="eastAsia" w:eastAsia="仿宋" w:cs="Times New Roman"/>
          <w:sz w:val="28"/>
          <w:szCs w:val="28"/>
          <w:lang w:val="en-US" w:eastAsia="zh-CN"/>
        </w:rPr>
        <w:t>二十八</w:t>
      </w:r>
      <w:r>
        <w:rPr>
          <w:rFonts w:ascii="Times New Roman" w:hAnsi="Times New Roman" w:eastAsia="仿宋" w:cs="Times New Roman"/>
          <w:sz w:val="28"/>
          <w:szCs w:val="28"/>
        </w:rPr>
        <w:t>次会议以</w:t>
      </w:r>
      <w:r>
        <w:rPr>
          <w:rFonts w:hint="eastAsia" w:eastAsia="仿宋" w:cs="Times New Roman"/>
          <w:sz w:val="28"/>
          <w:szCs w:val="28"/>
          <w:lang w:val="en-US" w:eastAsia="zh-CN"/>
        </w:rPr>
        <w:t>通讯</w:t>
      </w:r>
      <w:r>
        <w:rPr>
          <w:rFonts w:ascii="Times New Roman" w:hAnsi="Times New Roman" w:eastAsia="仿宋" w:cs="Times New Roman"/>
          <w:color w:val="000000"/>
          <w:kern w:val="0"/>
          <w:sz w:val="28"/>
          <w:szCs w:val="28"/>
        </w:rPr>
        <w:t>方式召开。</w:t>
      </w:r>
    </w:p>
    <w:p w14:paraId="485639A0">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48" w:firstLineChars="196"/>
        <w:jc w:val="left"/>
        <w:textAlignment w:val="auto"/>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3.</w:t>
      </w:r>
      <w:r>
        <w:rPr>
          <w:rFonts w:hint="default" w:ascii="Times New Roman" w:hAnsi="Times New Roman" w:eastAsia="仿宋" w:cs="Times New Roman"/>
          <w:color w:val="000000"/>
          <w:kern w:val="0"/>
          <w:sz w:val="28"/>
          <w:szCs w:val="28"/>
        </w:rPr>
        <w:t>公司应参会董事</w:t>
      </w:r>
      <w:r>
        <w:rPr>
          <w:rFonts w:hint="default" w:ascii="Times New Roman" w:hAnsi="Times New Roman" w:eastAsia="仿宋" w:cs="Times New Roman"/>
          <w:color w:val="000000"/>
          <w:kern w:val="0"/>
          <w:sz w:val="28"/>
          <w:szCs w:val="28"/>
          <w:lang w:val="en-US" w:eastAsia="zh-CN"/>
        </w:rPr>
        <w:t>9</w:t>
      </w:r>
      <w:r>
        <w:rPr>
          <w:rFonts w:hint="default" w:ascii="Times New Roman" w:hAnsi="Times New Roman" w:eastAsia="仿宋" w:cs="Times New Roman"/>
          <w:color w:val="000000"/>
          <w:kern w:val="0"/>
          <w:sz w:val="28"/>
          <w:szCs w:val="28"/>
        </w:rPr>
        <w:t>人</w:t>
      </w:r>
      <w:r>
        <w:rPr>
          <w:rFonts w:hint="default" w:ascii="Times New Roman" w:hAnsi="Times New Roman" w:eastAsia="仿宋" w:cs="Times New Roman"/>
          <w:color w:val="000000"/>
          <w:kern w:val="0"/>
          <w:sz w:val="28"/>
          <w:szCs w:val="28"/>
          <w:highlight w:val="none"/>
        </w:rPr>
        <w:t>，实参会董事</w:t>
      </w:r>
      <w:r>
        <w:rPr>
          <w:rFonts w:hint="default" w:ascii="Times New Roman" w:hAnsi="Times New Roman" w:eastAsia="仿宋" w:cs="Times New Roman"/>
          <w:color w:val="000000"/>
          <w:kern w:val="0"/>
          <w:sz w:val="28"/>
          <w:szCs w:val="28"/>
          <w:highlight w:val="none"/>
          <w:lang w:val="en-US" w:eastAsia="zh-CN"/>
        </w:rPr>
        <w:t>9</w:t>
      </w:r>
      <w:r>
        <w:rPr>
          <w:rFonts w:hint="default" w:ascii="Times New Roman" w:hAnsi="Times New Roman" w:eastAsia="仿宋" w:cs="Times New Roman"/>
          <w:color w:val="000000"/>
          <w:kern w:val="0"/>
          <w:sz w:val="28"/>
          <w:szCs w:val="28"/>
          <w:highlight w:val="none"/>
        </w:rPr>
        <w:t>人</w:t>
      </w:r>
      <w:r>
        <w:rPr>
          <w:rFonts w:hint="default" w:ascii="Times New Roman" w:hAnsi="Times New Roman" w:eastAsia="仿宋" w:cs="Times New Roman"/>
          <w:sz w:val="28"/>
          <w:szCs w:val="28"/>
        </w:rPr>
        <w:t>。</w:t>
      </w:r>
    </w:p>
    <w:p w14:paraId="19CC6BED">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left"/>
        <w:textAlignment w:val="auto"/>
        <w:rPr>
          <w:rFonts w:ascii="Times New Roman" w:hAnsi="Times New Roman" w:eastAsia="仿宋" w:cs="Times New Roman"/>
          <w:sz w:val="28"/>
          <w:szCs w:val="28"/>
        </w:rPr>
      </w:pPr>
      <w:r>
        <w:rPr>
          <w:rFonts w:hint="eastAsia" w:eastAsia="仿宋" w:cs="Times New Roman"/>
          <w:color w:val="000000"/>
          <w:kern w:val="0"/>
          <w:sz w:val="28"/>
          <w:szCs w:val="28"/>
          <w:lang w:val="en-US" w:eastAsia="zh-CN"/>
        </w:rPr>
        <w:t>4</w:t>
      </w:r>
      <w:r>
        <w:rPr>
          <w:rFonts w:ascii="Times New Roman" w:hAnsi="Times New Roman" w:eastAsia="仿宋" w:cs="Times New Roman"/>
          <w:color w:val="000000"/>
          <w:kern w:val="0"/>
          <w:sz w:val="28"/>
          <w:szCs w:val="28"/>
        </w:rPr>
        <w:t>.</w:t>
      </w:r>
      <w:r>
        <w:rPr>
          <w:rFonts w:hint="eastAsia" w:ascii="Times New Roman" w:hAnsi="Times New Roman" w:eastAsia="仿宋" w:cs="Times New Roman"/>
          <w:color w:val="000000"/>
          <w:kern w:val="0"/>
          <w:sz w:val="28"/>
          <w:szCs w:val="28"/>
        </w:rPr>
        <w:t>本次会议的召开符合《公司法》及公司《章程》的规定。</w:t>
      </w:r>
      <w:bookmarkStart w:id="0" w:name="_GoBack"/>
      <w:bookmarkEnd w:id="0"/>
    </w:p>
    <w:p w14:paraId="4BA152E2">
      <w:pPr>
        <w:keepNext w:val="0"/>
        <w:keepLines w:val="0"/>
        <w:pageBreakBefore w:val="0"/>
        <w:kinsoku/>
        <w:wordWrap/>
        <w:overflowPunct/>
        <w:topLinePunct w:val="0"/>
        <w:autoSpaceDE/>
        <w:autoSpaceDN/>
        <w:bidi w:val="0"/>
        <w:adjustRightInd/>
        <w:snapToGrid/>
        <w:spacing w:line="600" w:lineRule="exact"/>
        <w:ind w:firstLine="607" w:firstLineChars="216"/>
        <w:textAlignment w:val="auto"/>
        <w:rPr>
          <w:rFonts w:ascii="Times New Roman" w:hAnsi="Times New Roman" w:eastAsia="仿宋" w:cs="Times New Roman"/>
          <w:b/>
          <w:sz w:val="28"/>
          <w:szCs w:val="28"/>
        </w:rPr>
      </w:pPr>
      <w:r>
        <w:rPr>
          <w:rFonts w:ascii="Times New Roman" w:hAnsi="Times New Roman" w:eastAsia="仿宋" w:cs="Times New Roman"/>
          <w:b/>
          <w:sz w:val="28"/>
          <w:szCs w:val="28"/>
        </w:rPr>
        <w:t>二、董事会会议审议情况</w:t>
      </w:r>
    </w:p>
    <w:p w14:paraId="5A7B3140">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hint="eastAsia" w:ascii="Times New Roman" w:hAnsi="Times New Roman" w:eastAsia="仿宋" w:cs="Times New Roman"/>
          <w:b/>
          <w:bCs w:val="0"/>
          <w:sz w:val="28"/>
          <w:szCs w:val="28"/>
        </w:rPr>
      </w:pPr>
      <w:r>
        <w:rPr>
          <w:rFonts w:hint="eastAsia" w:ascii="Times New Roman" w:hAnsi="Times New Roman" w:eastAsia="仿宋" w:cs="Times New Roman"/>
          <w:b/>
          <w:bCs w:val="0"/>
          <w:sz w:val="28"/>
          <w:szCs w:val="28"/>
        </w:rPr>
        <w:t>审议《关于聘任</w:t>
      </w:r>
      <w:r>
        <w:rPr>
          <w:rFonts w:hint="eastAsia" w:eastAsia="仿宋" w:cs="Times New Roman"/>
          <w:b/>
          <w:bCs w:val="0"/>
          <w:sz w:val="28"/>
          <w:szCs w:val="28"/>
          <w:lang w:val="en-US" w:eastAsia="zh-CN"/>
        </w:rPr>
        <w:t>王胜</w:t>
      </w:r>
      <w:r>
        <w:rPr>
          <w:rFonts w:hint="eastAsia" w:ascii="Times New Roman" w:hAnsi="Times New Roman" w:eastAsia="仿宋" w:cs="Times New Roman"/>
          <w:b/>
          <w:bCs w:val="0"/>
          <w:sz w:val="28"/>
          <w:szCs w:val="28"/>
        </w:rPr>
        <w:t>先生为公司总会计师的议案》</w:t>
      </w:r>
    </w:p>
    <w:p w14:paraId="5FD2E6D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仿宋" w:cs="Times New Roman"/>
          <w:b w:val="0"/>
          <w:bCs/>
          <w:sz w:val="28"/>
          <w:szCs w:val="28"/>
        </w:rPr>
      </w:pPr>
      <w:r>
        <w:rPr>
          <w:rFonts w:hint="eastAsia" w:ascii="Times New Roman" w:hAnsi="Times New Roman" w:eastAsia="仿宋" w:cs="Times New Roman"/>
          <w:b w:val="0"/>
          <w:bCs/>
          <w:sz w:val="28"/>
          <w:szCs w:val="28"/>
        </w:rPr>
        <w:t>会议以9票赞同、0票反对、0票弃权，通过了《关于聘任</w:t>
      </w:r>
      <w:r>
        <w:rPr>
          <w:rFonts w:hint="eastAsia" w:eastAsia="仿宋" w:cs="Times New Roman"/>
          <w:b w:val="0"/>
          <w:bCs/>
          <w:sz w:val="28"/>
          <w:szCs w:val="28"/>
          <w:lang w:val="en-US" w:eastAsia="zh-CN"/>
        </w:rPr>
        <w:t>王胜</w:t>
      </w:r>
      <w:r>
        <w:rPr>
          <w:rFonts w:hint="eastAsia" w:ascii="Times New Roman" w:hAnsi="Times New Roman" w:eastAsia="仿宋" w:cs="Times New Roman"/>
          <w:b w:val="0"/>
          <w:bCs/>
          <w:sz w:val="28"/>
          <w:szCs w:val="28"/>
        </w:rPr>
        <w:t>先生为公司总会计师的议案》，同意聘任</w:t>
      </w:r>
      <w:r>
        <w:rPr>
          <w:rFonts w:hint="eastAsia" w:eastAsia="仿宋" w:cs="Times New Roman"/>
          <w:b w:val="0"/>
          <w:bCs/>
          <w:sz w:val="28"/>
          <w:szCs w:val="28"/>
          <w:lang w:val="en-US" w:eastAsia="zh-CN"/>
        </w:rPr>
        <w:t>王胜</w:t>
      </w:r>
      <w:r>
        <w:rPr>
          <w:rFonts w:hint="eastAsia" w:ascii="Times New Roman" w:hAnsi="Times New Roman" w:eastAsia="仿宋" w:cs="Times New Roman"/>
          <w:b w:val="0"/>
          <w:bCs/>
          <w:sz w:val="28"/>
          <w:szCs w:val="28"/>
        </w:rPr>
        <w:t>先生为公司总会计师。</w:t>
      </w:r>
    </w:p>
    <w:p w14:paraId="5B679A8B">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仿宋" w:cs="Times New Roman"/>
          <w:b w:val="0"/>
          <w:bCs/>
          <w:sz w:val="28"/>
          <w:szCs w:val="28"/>
          <w:lang w:val="en-US" w:eastAsia="zh-CN"/>
        </w:rPr>
      </w:pPr>
      <w:r>
        <w:rPr>
          <w:rFonts w:hint="eastAsia" w:ascii="Times New Roman" w:hAnsi="Times New Roman" w:eastAsia="仿宋" w:cs="Times New Roman"/>
          <w:b w:val="0"/>
          <w:bCs/>
          <w:sz w:val="28"/>
          <w:szCs w:val="28"/>
        </w:rPr>
        <w:t>第</w:t>
      </w:r>
      <w:r>
        <w:rPr>
          <w:rFonts w:hint="eastAsia" w:ascii="Times New Roman" w:hAnsi="Times New Roman" w:eastAsia="仿宋" w:cs="Times New Roman"/>
          <w:b w:val="0"/>
          <w:bCs/>
          <w:sz w:val="28"/>
          <w:szCs w:val="28"/>
          <w:lang w:val="en-US" w:eastAsia="zh-CN"/>
        </w:rPr>
        <w:t>九</w:t>
      </w:r>
      <w:r>
        <w:rPr>
          <w:rFonts w:hint="eastAsia" w:ascii="Times New Roman" w:hAnsi="Times New Roman" w:eastAsia="仿宋" w:cs="Times New Roman"/>
          <w:b w:val="0"/>
          <w:bCs/>
          <w:sz w:val="28"/>
          <w:szCs w:val="28"/>
        </w:rPr>
        <w:t>届董事会提名委员会认为：</w:t>
      </w:r>
      <w:r>
        <w:rPr>
          <w:rFonts w:hint="eastAsia" w:ascii="Times New Roman" w:hAnsi="Times New Roman" w:eastAsia="仿宋" w:cs="Times New Roman"/>
          <w:b w:val="0"/>
          <w:bCs/>
          <w:sz w:val="28"/>
          <w:szCs w:val="28"/>
          <w:lang w:val="en-US" w:eastAsia="zh-CN"/>
        </w:rPr>
        <w:t>根据法律、行政法规及有关规定，王胜先生具备担任上市公司高级管理人员的资格</w:t>
      </w:r>
      <w:r>
        <w:rPr>
          <w:rFonts w:hint="default" w:ascii="Times New Roman" w:hAnsi="Times New Roman" w:eastAsia="仿宋" w:cs="Times New Roman"/>
          <w:b w:val="0"/>
          <w:bCs/>
          <w:sz w:val="28"/>
          <w:szCs w:val="28"/>
          <w:lang w:val="en-US" w:eastAsia="zh-CN"/>
        </w:rPr>
        <w:t>，</w:t>
      </w:r>
      <w:r>
        <w:rPr>
          <w:rFonts w:hint="eastAsia" w:ascii="Times New Roman" w:hAnsi="Times New Roman" w:eastAsia="仿宋" w:cs="Times New Roman"/>
          <w:b w:val="0"/>
          <w:bCs/>
          <w:sz w:val="28"/>
          <w:szCs w:val="28"/>
          <w:lang w:val="en-US" w:eastAsia="zh-CN"/>
        </w:rPr>
        <w:t>符合吉林电力股份有限公司章程规定的任职条件。同意提名王胜先生为公司总会计师，并同意提交公司第九届董事会第二十八次会议审议。</w:t>
      </w:r>
    </w:p>
    <w:p w14:paraId="74E63404">
      <w:pPr>
        <w:pStyle w:val="9"/>
        <w:keepNext w:val="0"/>
        <w:keepLines w:val="0"/>
        <w:pageBreakBefore w:val="0"/>
        <w:kinsoku/>
        <w:wordWrap/>
        <w:overflowPunct/>
        <w:topLinePunct w:val="0"/>
        <w:autoSpaceDE/>
        <w:autoSpaceDN/>
        <w:bidi w:val="0"/>
        <w:adjustRightInd/>
        <w:snapToGrid/>
        <w:spacing w:after="0" w:afterLines="0"/>
        <w:ind w:left="0" w:leftChars="0" w:firstLine="560" w:firstLineChars="200"/>
        <w:textAlignment w:val="auto"/>
        <w:rPr>
          <w:rFonts w:hint="eastAsia" w:ascii="Times New Roman" w:hAnsi="Times New Roman" w:eastAsia="仿宋" w:cs="Times New Roman"/>
          <w:b w:val="0"/>
          <w:bCs/>
          <w:kern w:val="2"/>
          <w:sz w:val="28"/>
          <w:szCs w:val="28"/>
          <w:lang w:val="en-US" w:eastAsia="zh-CN" w:bidi="ar-SA"/>
        </w:rPr>
      </w:pPr>
      <w:r>
        <w:rPr>
          <w:rFonts w:hint="eastAsia" w:ascii="Times New Roman" w:hAnsi="Times New Roman" w:eastAsia="仿宋" w:cs="Times New Roman"/>
          <w:b w:val="0"/>
          <w:bCs/>
          <w:sz w:val="28"/>
          <w:szCs w:val="28"/>
        </w:rPr>
        <w:t>第</w:t>
      </w:r>
      <w:r>
        <w:rPr>
          <w:rFonts w:hint="eastAsia" w:ascii="Times New Roman" w:hAnsi="Times New Roman" w:eastAsia="仿宋" w:cs="Times New Roman"/>
          <w:b w:val="0"/>
          <w:bCs/>
          <w:sz w:val="28"/>
          <w:szCs w:val="28"/>
          <w:lang w:val="en-US" w:eastAsia="zh-CN"/>
        </w:rPr>
        <w:t>九</w:t>
      </w:r>
      <w:r>
        <w:rPr>
          <w:rFonts w:hint="eastAsia" w:ascii="Times New Roman" w:hAnsi="Times New Roman" w:eastAsia="仿宋" w:cs="Times New Roman"/>
          <w:b w:val="0"/>
          <w:bCs/>
          <w:sz w:val="28"/>
          <w:szCs w:val="28"/>
        </w:rPr>
        <w:t>届董事会</w:t>
      </w:r>
      <w:r>
        <w:rPr>
          <w:rFonts w:hint="eastAsia" w:ascii="Times New Roman" w:hAnsi="Times New Roman" w:eastAsia="仿宋" w:cs="Times New Roman"/>
          <w:b w:val="0"/>
          <w:bCs/>
          <w:sz w:val="28"/>
          <w:szCs w:val="28"/>
          <w:lang w:val="en-US" w:eastAsia="zh-CN"/>
        </w:rPr>
        <w:t>审计</w:t>
      </w:r>
      <w:r>
        <w:rPr>
          <w:rFonts w:hint="eastAsia" w:ascii="Times New Roman" w:hAnsi="Times New Roman" w:eastAsia="仿宋" w:cs="Times New Roman"/>
          <w:b w:val="0"/>
          <w:bCs/>
          <w:sz w:val="28"/>
          <w:szCs w:val="28"/>
        </w:rPr>
        <w:t>委员会认为：</w:t>
      </w:r>
      <w:r>
        <w:rPr>
          <w:rFonts w:hint="eastAsia" w:ascii="Times New Roman" w:hAnsi="Times New Roman" w:eastAsia="仿宋" w:cs="Times New Roman"/>
          <w:b w:val="0"/>
          <w:bCs/>
          <w:kern w:val="2"/>
          <w:sz w:val="28"/>
          <w:szCs w:val="28"/>
          <w:lang w:val="en-US" w:eastAsia="zh-CN" w:bidi="ar-SA"/>
        </w:rPr>
        <w:t>根据法律、行政法规及有关规定，王胜先生具备履行相关职责所必须的工作经验和专业知识，不存在《公司法》规定的不得担任上市公司财务负责人的情形，任职资格符合相关规定。同意聘任王胜先生为公司总会计师，并同意提交公司第九届董事会第二十八次会议审议。</w:t>
      </w:r>
    </w:p>
    <w:p w14:paraId="3F2C0A07">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ascii="Times New Roman" w:hAnsi="Times New Roman" w:eastAsia="仿宋" w:cs="Times New Roman"/>
          <w:b/>
          <w:sz w:val="28"/>
          <w:szCs w:val="28"/>
        </w:rPr>
      </w:pPr>
      <w:r>
        <w:rPr>
          <w:rFonts w:ascii="Times New Roman" w:hAnsi="Times New Roman" w:eastAsia="仿宋" w:cs="Times New Roman"/>
          <w:b/>
          <w:sz w:val="28"/>
          <w:szCs w:val="28"/>
        </w:rPr>
        <w:t>三、备查文件</w:t>
      </w:r>
    </w:p>
    <w:p w14:paraId="4E2677C6">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仿宋"/>
          <w:sz w:val="28"/>
          <w:szCs w:val="28"/>
          <w:lang w:eastAsia="zh-CN"/>
        </w:rPr>
      </w:pPr>
      <w:r>
        <w:rPr>
          <w:rFonts w:hint="eastAsia" w:eastAsia="仿宋"/>
          <w:sz w:val="28"/>
          <w:szCs w:val="28"/>
          <w:lang w:val="en-US" w:eastAsia="zh-CN"/>
        </w:rPr>
        <w:t>1.</w:t>
      </w:r>
      <w:r>
        <w:rPr>
          <w:rFonts w:hint="eastAsia" w:ascii="Times New Roman" w:hAnsi="Times New Roman" w:eastAsia="仿宋"/>
          <w:sz w:val="28"/>
          <w:szCs w:val="28"/>
        </w:rPr>
        <w:t>经与会董事签字并加盖董事会印章的董事会决议</w:t>
      </w:r>
      <w:r>
        <w:rPr>
          <w:rFonts w:hint="eastAsia" w:eastAsia="仿宋"/>
          <w:sz w:val="28"/>
          <w:szCs w:val="28"/>
          <w:lang w:eastAsia="zh-CN"/>
        </w:rPr>
        <w:t>；</w:t>
      </w:r>
    </w:p>
    <w:p w14:paraId="7BBF1946">
      <w:pPr>
        <w:keepNext w:val="0"/>
        <w:keepLines w:val="0"/>
        <w:pageBreakBefore w:val="0"/>
        <w:kinsoku/>
        <w:wordWrap/>
        <w:overflowPunct/>
        <w:topLinePunct w:val="0"/>
        <w:bidi w:val="0"/>
        <w:snapToGrid/>
        <w:spacing w:line="600" w:lineRule="exact"/>
        <w:ind w:firstLine="560" w:firstLineChars="200"/>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2.第九届董事会提名委员会2024年第四次会议纪要；</w:t>
      </w:r>
    </w:p>
    <w:p w14:paraId="06EECE5E">
      <w:pPr>
        <w:keepNext w:val="0"/>
        <w:keepLines w:val="0"/>
        <w:pageBreakBefore w:val="0"/>
        <w:kinsoku/>
        <w:wordWrap/>
        <w:overflowPunct/>
        <w:topLinePunct w:val="0"/>
        <w:bidi w:val="0"/>
        <w:snapToGrid/>
        <w:spacing w:line="600" w:lineRule="exact"/>
        <w:ind w:firstLine="560" w:firstLineChars="200"/>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3.第九届董事会审计委员会2024年第八次会议纪要。</w:t>
      </w:r>
    </w:p>
    <w:p w14:paraId="62870B83">
      <w:pPr>
        <w:pStyle w:val="18"/>
        <w:keepNext w:val="0"/>
        <w:keepLines w:val="0"/>
        <w:pageBreakBefore w:val="0"/>
        <w:kinsoku/>
        <w:wordWrap/>
        <w:overflowPunct/>
        <w:topLinePunct w:val="0"/>
        <w:bidi w:val="0"/>
        <w:snapToGrid/>
        <w:spacing w:beforeLines="0" w:afterLines="0" w:line="600" w:lineRule="exact"/>
        <w:ind w:firstLine="560" w:firstLineChars="200"/>
        <w:textAlignment w:val="auto"/>
        <w:rPr>
          <w:rFonts w:hint="eastAsia" w:ascii="Times New Roman" w:hAnsi="Times New Roman" w:eastAsia="仿宋" w:cs="Times New Roman"/>
          <w:sz w:val="28"/>
          <w:szCs w:val="28"/>
        </w:rPr>
      </w:pPr>
    </w:p>
    <w:p w14:paraId="74A8EC19">
      <w:pPr>
        <w:pStyle w:val="18"/>
        <w:keepNext w:val="0"/>
        <w:keepLines w:val="0"/>
        <w:pageBreakBefore w:val="0"/>
        <w:kinsoku/>
        <w:wordWrap/>
        <w:overflowPunct/>
        <w:topLinePunct w:val="0"/>
        <w:bidi w:val="0"/>
        <w:snapToGrid/>
        <w:spacing w:beforeLines="0" w:afterLines="0" w:line="600" w:lineRule="exact"/>
        <w:ind w:firstLine="560" w:firstLineChars="200"/>
        <w:textAlignment w:val="auto"/>
        <w:rPr>
          <w:rFonts w:hint="default" w:eastAsia="仿宋"/>
          <w:lang w:val="en-US" w:eastAsia="zh-CN"/>
        </w:rPr>
      </w:pPr>
      <w:r>
        <w:rPr>
          <w:rFonts w:hint="eastAsia" w:ascii="Times New Roman" w:hAnsi="Times New Roman" w:eastAsia="仿宋" w:cs="Times New Roman"/>
          <w:sz w:val="28"/>
          <w:szCs w:val="28"/>
        </w:rPr>
        <w:t>附：</w:t>
      </w:r>
      <w:r>
        <w:rPr>
          <w:rFonts w:hint="eastAsia" w:eastAsia="仿宋" w:cs="Times New Roman"/>
          <w:sz w:val="28"/>
          <w:szCs w:val="28"/>
          <w:lang w:val="en-US" w:eastAsia="zh-CN"/>
        </w:rPr>
        <w:t>王胜先生简历</w:t>
      </w:r>
    </w:p>
    <w:p w14:paraId="6626995A">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600" w:lineRule="exact"/>
        <w:ind w:firstLine="560" w:firstLineChars="200"/>
        <w:jc w:val="left"/>
        <w:textAlignment w:val="auto"/>
        <w:rPr>
          <w:rFonts w:ascii="Times New Roman" w:hAnsi="Times New Roman" w:eastAsia="仿宋" w:cs="Times New Roman"/>
          <w:color w:val="000000"/>
          <w:kern w:val="0"/>
          <w:sz w:val="28"/>
          <w:szCs w:val="28"/>
        </w:rPr>
      </w:pPr>
    </w:p>
    <w:p w14:paraId="78A25D76">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600" w:lineRule="exact"/>
        <w:ind w:firstLine="560" w:firstLineChars="200"/>
        <w:jc w:val="left"/>
        <w:textAlignment w:val="auto"/>
        <w:rPr>
          <w:rFonts w:ascii="Times New Roman" w:hAnsi="Times New Roman" w:eastAsia="仿宋" w:cs="Times New Roman"/>
          <w:sz w:val="28"/>
          <w:szCs w:val="28"/>
        </w:rPr>
      </w:pPr>
      <w:r>
        <w:rPr>
          <w:rFonts w:ascii="Times New Roman" w:hAnsi="Times New Roman" w:eastAsia="仿宋" w:cs="Times New Roman"/>
          <w:color w:val="000000"/>
          <w:kern w:val="0"/>
          <w:sz w:val="28"/>
          <w:szCs w:val="28"/>
        </w:rPr>
        <w:t>特此公告。</w:t>
      </w:r>
    </w:p>
    <w:p w14:paraId="46B19695">
      <w:pPr>
        <w:keepNext w:val="0"/>
        <w:keepLines w:val="0"/>
        <w:pageBreakBefore w:val="0"/>
        <w:kinsoku/>
        <w:wordWrap/>
        <w:overflowPunct/>
        <w:topLinePunct w:val="0"/>
        <w:bidi w:val="0"/>
        <w:snapToGrid/>
        <w:spacing w:line="600" w:lineRule="exact"/>
        <w:jc w:val="right"/>
        <w:textAlignment w:val="auto"/>
        <w:rPr>
          <w:rFonts w:ascii="Times New Roman" w:hAnsi="Times New Roman" w:eastAsia="仿宋" w:cs="Times New Roman"/>
          <w:sz w:val="28"/>
          <w:szCs w:val="28"/>
        </w:rPr>
      </w:pPr>
    </w:p>
    <w:p w14:paraId="6BECCEC3">
      <w:pPr>
        <w:keepNext w:val="0"/>
        <w:keepLines w:val="0"/>
        <w:pageBreakBefore w:val="0"/>
        <w:kinsoku/>
        <w:wordWrap/>
        <w:overflowPunct/>
        <w:topLinePunct w:val="0"/>
        <w:bidi w:val="0"/>
        <w:snapToGrid/>
        <w:spacing w:line="600" w:lineRule="exact"/>
        <w:jc w:val="right"/>
        <w:textAlignment w:val="auto"/>
        <w:rPr>
          <w:rFonts w:ascii="Times New Roman" w:hAnsi="Times New Roman" w:eastAsia="仿宋" w:cs="Times New Roman"/>
          <w:sz w:val="28"/>
          <w:szCs w:val="28"/>
        </w:rPr>
      </w:pPr>
      <w:r>
        <w:rPr>
          <w:rFonts w:ascii="Times New Roman" w:hAnsi="Times New Roman" w:eastAsia="仿宋" w:cs="Times New Roman"/>
          <w:sz w:val="28"/>
          <w:szCs w:val="28"/>
        </w:rPr>
        <w:t>吉林电力股份有限公司董事会</w:t>
      </w:r>
    </w:p>
    <w:p w14:paraId="71558DCC">
      <w:pPr>
        <w:pStyle w:val="8"/>
        <w:keepNext w:val="0"/>
        <w:keepLines w:val="0"/>
        <w:pageBreakBefore w:val="0"/>
        <w:kinsoku/>
        <w:wordWrap/>
        <w:overflowPunct/>
        <w:topLinePunct w:val="0"/>
        <w:bidi w:val="0"/>
        <w:snapToGrid/>
        <w:spacing w:line="600" w:lineRule="exact"/>
        <w:ind w:firstLine="555" w:firstLineChars="0"/>
        <w:jc w:val="right"/>
        <w:textAlignment w:val="auto"/>
        <w:rPr>
          <w:rFonts w:ascii="Times New Roman" w:hAnsi="Times New Roman" w:eastAsia="仿宋"/>
          <w:color w:val="000000"/>
          <w:szCs w:val="28"/>
        </w:rPr>
      </w:pPr>
      <w:r>
        <w:rPr>
          <w:rFonts w:ascii="Times New Roman" w:hAnsi="Times New Roman" w:eastAsia="仿宋" w:cs="Times New Roman"/>
          <w:sz w:val="28"/>
          <w:szCs w:val="28"/>
        </w:rPr>
        <w:t>二</w:t>
      </w:r>
      <w:r>
        <w:rPr>
          <w:rFonts w:hint="eastAsia" w:ascii="Times New Roman" w:hAnsi="Times New Roman" w:eastAsia="仿宋" w:cs="仿宋"/>
          <w:sz w:val="28"/>
          <w:szCs w:val="28"/>
        </w:rPr>
        <w:t>○</w:t>
      </w:r>
      <w:r>
        <w:rPr>
          <w:rFonts w:ascii="Times New Roman" w:hAnsi="Times New Roman" w:eastAsia="仿宋" w:cs="Times New Roman"/>
          <w:sz w:val="28"/>
          <w:szCs w:val="28"/>
        </w:rPr>
        <w:t>二</w:t>
      </w:r>
      <w:r>
        <w:rPr>
          <w:rFonts w:hint="eastAsia" w:ascii="Times New Roman" w:hAnsi="Times New Roman" w:eastAsia="仿宋" w:cs="Times New Roman"/>
          <w:sz w:val="28"/>
          <w:szCs w:val="28"/>
          <w:lang w:val="en-US" w:eastAsia="zh-CN"/>
        </w:rPr>
        <w:t>四</w:t>
      </w:r>
      <w:r>
        <w:rPr>
          <w:rFonts w:ascii="Times New Roman" w:hAnsi="Times New Roman" w:eastAsia="仿宋" w:cs="Times New Roman"/>
          <w:sz w:val="28"/>
          <w:szCs w:val="28"/>
        </w:rPr>
        <w:t>年</w:t>
      </w:r>
      <w:r>
        <w:rPr>
          <w:rFonts w:hint="eastAsia" w:eastAsia="仿宋" w:cs="Times New Roman"/>
          <w:sz w:val="28"/>
          <w:szCs w:val="28"/>
          <w:lang w:val="en-US" w:eastAsia="zh-CN"/>
        </w:rPr>
        <w:t>十二</w:t>
      </w:r>
      <w:r>
        <w:rPr>
          <w:rFonts w:ascii="Times New Roman" w:hAnsi="Times New Roman" w:eastAsia="仿宋" w:cs="Times New Roman"/>
          <w:sz w:val="28"/>
          <w:szCs w:val="28"/>
        </w:rPr>
        <w:t>月</w:t>
      </w:r>
      <w:r>
        <w:rPr>
          <w:rFonts w:hint="eastAsia" w:eastAsia="仿宋" w:cs="Times New Roman"/>
          <w:sz w:val="28"/>
          <w:szCs w:val="28"/>
          <w:lang w:val="en-US" w:eastAsia="zh-CN"/>
        </w:rPr>
        <w:t>三十</w:t>
      </w:r>
      <w:r>
        <w:rPr>
          <w:rFonts w:ascii="Times New Roman" w:hAnsi="Times New Roman" w:eastAsia="仿宋" w:cs="Times New Roman"/>
          <w:sz w:val="28"/>
          <w:szCs w:val="28"/>
        </w:rPr>
        <w:t>日</w:t>
      </w:r>
    </w:p>
    <w:p w14:paraId="21C67739">
      <w:pPr>
        <w:pStyle w:val="8"/>
        <w:keepNext w:val="0"/>
        <w:keepLines w:val="0"/>
        <w:pageBreakBefore w:val="0"/>
        <w:kinsoku/>
        <w:wordWrap/>
        <w:overflowPunct/>
        <w:topLinePunct w:val="0"/>
        <w:bidi w:val="0"/>
        <w:snapToGrid/>
        <w:spacing w:line="600" w:lineRule="exact"/>
        <w:ind w:firstLine="555" w:firstLineChars="0"/>
        <w:textAlignment w:val="auto"/>
        <w:rPr>
          <w:rFonts w:ascii="Times New Roman" w:hAnsi="Times New Roman" w:eastAsia="仿宋"/>
          <w:color w:val="000000"/>
          <w:szCs w:val="28"/>
        </w:rPr>
      </w:pPr>
      <w:r>
        <w:rPr>
          <w:rFonts w:ascii="Times New Roman" w:hAnsi="Times New Roman" w:eastAsia="仿宋"/>
          <w:color w:val="000000"/>
          <w:szCs w:val="28"/>
        </w:rPr>
        <w:t xml:space="preserve">               </w:t>
      </w:r>
    </w:p>
    <w:p w14:paraId="116A46AF">
      <w:pPr>
        <w:rPr>
          <w:rFonts w:ascii="Times New Roman" w:hAnsi="Times New Roman" w:eastAsia="仿宋"/>
          <w:color w:val="000000"/>
          <w:szCs w:val="28"/>
        </w:rPr>
      </w:pPr>
      <w:r>
        <w:rPr>
          <w:rFonts w:ascii="Times New Roman" w:hAnsi="Times New Roman" w:eastAsia="仿宋"/>
          <w:color w:val="000000"/>
          <w:szCs w:val="28"/>
        </w:rPr>
        <w:br w:type="page"/>
      </w:r>
    </w:p>
    <w:p w14:paraId="363EF77C">
      <w:pPr>
        <w:keepNext w:val="0"/>
        <w:keepLines w:val="0"/>
        <w:pageBreakBefore w:val="0"/>
        <w:kinsoku/>
        <w:wordWrap/>
        <w:overflowPunct/>
        <w:topLinePunct w:val="0"/>
        <w:bidi w:val="0"/>
        <w:snapToGrid/>
        <w:spacing w:line="600" w:lineRule="exact"/>
        <w:textAlignment w:val="auto"/>
        <w:rPr>
          <w:rFonts w:hint="eastAsia" w:hAnsi="仿宋" w:eastAsia="仿宋"/>
          <w:bCs/>
          <w:sz w:val="28"/>
          <w:szCs w:val="28"/>
          <w:highlight w:val="none"/>
          <w:lang w:val="en-US" w:eastAsia="zh-CN"/>
        </w:rPr>
      </w:pPr>
      <w:r>
        <w:rPr>
          <w:rFonts w:hint="eastAsia" w:hAnsi="仿宋" w:eastAsia="仿宋"/>
          <w:bCs/>
          <w:sz w:val="28"/>
          <w:szCs w:val="28"/>
          <w:highlight w:val="none"/>
          <w:lang w:val="en-US" w:eastAsia="zh-CN"/>
        </w:rPr>
        <w:t>附：</w:t>
      </w:r>
    </w:p>
    <w:p w14:paraId="6BE32C15">
      <w:pPr>
        <w:pStyle w:val="8"/>
        <w:keepNext w:val="0"/>
        <w:keepLines w:val="0"/>
        <w:pageBreakBefore w:val="0"/>
        <w:kinsoku/>
        <w:wordWrap/>
        <w:overflowPunct/>
        <w:topLinePunct w:val="0"/>
        <w:bidi w:val="0"/>
        <w:snapToGrid/>
        <w:spacing w:line="600" w:lineRule="exact"/>
        <w:ind w:firstLine="555" w:firstLineChars="0"/>
        <w:jc w:val="center"/>
        <w:textAlignment w:val="auto"/>
        <w:rPr>
          <w:rFonts w:ascii="宋体" w:eastAsia="宋体"/>
          <w:color w:val="000000"/>
          <w:sz w:val="44"/>
          <w:szCs w:val="44"/>
        </w:rPr>
      </w:pPr>
      <w:r>
        <w:rPr>
          <w:rFonts w:hint="eastAsia" w:ascii="宋体"/>
          <w:color w:val="000000"/>
          <w:sz w:val="44"/>
          <w:szCs w:val="44"/>
          <w:lang w:val="en-US" w:eastAsia="zh-CN"/>
        </w:rPr>
        <w:t>王胜</w:t>
      </w:r>
      <w:r>
        <w:rPr>
          <w:rFonts w:ascii="宋体" w:eastAsia="宋体"/>
          <w:color w:val="000000"/>
          <w:sz w:val="44"/>
          <w:szCs w:val="44"/>
        </w:rPr>
        <w:t>先生简历</w:t>
      </w:r>
    </w:p>
    <w:p w14:paraId="27B40C36">
      <w:pPr>
        <w:keepNext w:val="0"/>
        <w:keepLines w:val="0"/>
        <w:pageBreakBefore w:val="0"/>
        <w:kinsoku/>
        <w:wordWrap/>
        <w:overflowPunct/>
        <w:topLinePunct w:val="0"/>
        <w:bidi w:val="0"/>
        <w:snapToGrid/>
        <w:spacing w:line="600" w:lineRule="exact"/>
        <w:ind w:firstLine="570"/>
        <w:textAlignment w:val="auto"/>
        <w:rPr>
          <w:rFonts w:hint="eastAsia" w:hAnsi="仿宋" w:eastAsia="仿宋"/>
          <w:bCs/>
          <w:sz w:val="28"/>
          <w:szCs w:val="28"/>
        </w:rPr>
      </w:pPr>
    </w:p>
    <w:p w14:paraId="72DF20A4">
      <w:pPr>
        <w:keepNext w:val="0"/>
        <w:keepLines w:val="0"/>
        <w:pageBreakBefore w:val="0"/>
        <w:kinsoku/>
        <w:wordWrap/>
        <w:overflowPunct/>
        <w:topLinePunct w:val="0"/>
        <w:bidi w:val="0"/>
        <w:snapToGrid/>
        <w:spacing w:line="600" w:lineRule="exact"/>
        <w:ind w:firstLine="560" w:firstLineChars="200"/>
        <w:textAlignment w:val="auto"/>
        <w:rPr>
          <w:rFonts w:hint="default" w:hAnsi="仿宋" w:eastAsia="仿宋"/>
          <w:bCs/>
          <w:sz w:val="28"/>
          <w:szCs w:val="28"/>
          <w:highlight w:val="none"/>
          <w:lang w:val="en-US" w:eastAsia="zh-CN"/>
        </w:rPr>
      </w:pPr>
      <w:r>
        <w:rPr>
          <w:rFonts w:hint="eastAsia" w:hAnsi="仿宋" w:eastAsia="仿宋"/>
          <w:bCs/>
          <w:sz w:val="28"/>
          <w:szCs w:val="28"/>
          <w:lang w:val="en-US" w:eastAsia="zh-CN"/>
        </w:rPr>
        <w:t>王胜</w:t>
      </w:r>
      <w:r>
        <w:rPr>
          <w:rFonts w:hAnsi="仿宋" w:eastAsia="仿宋"/>
          <w:bCs/>
          <w:sz w:val="28"/>
          <w:szCs w:val="28"/>
        </w:rPr>
        <w:t>，男，</w:t>
      </w:r>
      <w:r>
        <w:rPr>
          <w:rFonts w:eastAsia="仿宋"/>
          <w:bCs/>
          <w:sz w:val="28"/>
          <w:szCs w:val="28"/>
        </w:rPr>
        <w:t>19</w:t>
      </w:r>
      <w:r>
        <w:rPr>
          <w:rFonts w:hint="eastAsia" w:eastAsia="仿宋"/>
          <w:bCs/>
          <w:sz w:val="28"/>
          <w:szCs w:val="28"/>
          <w:lang w:val="en-US" w:eastAsia="zh-CN"/>
        </w:rPr>
        <w:t>81</w:t>
      </w:r>
      <w:r>
        <w:rPr>
          <w:rFonts w:hAnsi="仿宋" w:eastAsia="仿宋"/>
          <w:bCs/>
          <w:sz w:val="28"/>
          <w:szCs w:val="28"/>
        </w:rPr>
        <w:t>年</w:t>
      </w:r>
      <w:r>
        <w:rPr>
          <w:rFonts w:hint="eastAsia" w:hAnsi="仿宋" w:eastAsia="仿宋"/>
          <w:bCs/>
          <w:sz w:val="28"/>
          <w:szCs w:val="28"/>
          <w:lang w:val="en-US" w:eastAsia="zh-CN"/>
        </w:rPr>
        <w:t>2</w:t>
      </w:r>
      <w:r>
        <w:rPr>
          <w:rFonts w:hAnsi="仿宋" w:eastAsia="仿宋"/>
          <w:bCs/>
          <w:sz w:val="28"/>
          <w:szCs w:val="28"/>
        </w:rPr>
        <w:t>月出生，汉族，</w:t>
      </w:r>
      <w:r>
        <w:rPr>
          <w:rFonts w:hAnsi="仿宋" w:eastAsia="仿宋"/>
          <w:sz w:val="28"/>
          <w:szCs w:val="28"/>
        </w:rPr>
        <w:t>中共党员，本科学历，</w:t>
      </w:r>
      <w:r>
        <w:rPr>
          <w:rFonts w:hint="eastAsia" w:hAnsi="仿宋" w:eastAsia="仿宋"/>
          <w:sz w:val="28"/>
          <w:szCs w:val="28"/>
        </w:rPr>
        <w:t>学</w:t>
      </w:r>
      <w:r>
        <w:rPr>
          <w:rFonts w:hAnsi="仿宋" w:eastAsia="仿宋"/>
          <w:sz w:val="28"/>
          <w:szCs w:val="28"/>
        </w:rPr>
        <w:t>士学位，高级</w:t>
      </w:r>
      <w:r>
        <w:rPr>
          <w:rFonts w:hint="eastAsia" w:hAnsi="仿宋" w:eastAsia="仿宋"/>
          <w:sz w:val="28"/>
          <w:szCs w:val="28"/>
        </w:rPr>
        <w:t>会计</w:t>
      </w:r>
      <w:r>
        <w:rPr>
          <w:rFonts w:hAnsi="仿宋" w:eastAsia="仿宋"/>
          <w:sz w:val="28"/>
          <w:szCs w:val="28"/>
        </w:rPr>
        <w:t>师。</w:t>
      </w:r>
    </w:p>
    <w:p w14:paraId="6DA1CA59">
      <w:pPr>
        <w:ind w:firstLine="560" w:firstLineChars="200"/>
        <w:rPr>
          <w:rFonts w:hint="eastAsia" w:ascii="仿宋" w:hAnsi="仿宋" w:eastAsia="仿宋"/>
          <w:sz w:val="28"/>
          <w:szCs w:val="28"/>
          <w:lang w:eastAsia="zh-CN"/>
        </w:rPr>
      </w:pPr>
      <w:r>
        <w:rPr>
          <w:rFonts w:hint="eastAsia" w:ascii="仿宋" w:hAnsi="仿宋" w:eastAsia="仿宋"/>
          <w:sz w:val="28"/>
          <w:szCs w:val="28"/>
        </w:rPr>
        <w:t>历任国家电投集团内蒙古能源有限公司分析评价部副主任</w:t>
      </w:r>
      <w:r>
        <w:rPr>
          <w:rFonts w:hint="eastAsia" w:ascii="仿宋" w:hAnsi="仿宋" w:eastAsia="仿宋"/>
          <w:sz w:val="28"/>
          <w:szCs w:val="28"/>
          <w:lang w:eastAsia="zh-CN"/>
        </w:rPr>
        <w:t>，</w:t>
      </w:r>
      <w:r>
        <w:rPr>
          <w:rFonts w:hint="eastAsia" w:ascii="仿宋" w:hAnsi="仿宋" w:eastAsia="仿宋"/>
          <w:sz w:val="28"/>
          <w:szCs w:val="28"/>
        </w:rPr>
        <w:t>国家电投集团内蒙古能源有限公司计划与财务部副主任、配售电公司总会计师</w:t>
      </w:r>
      <w:r>
        <w:rPr>
          <w:rFonts w:hint="eastAsia" w:ascii="仿宋" w:hAnsi="仿宋" w:eastAsia="仿宋"/>
          <w:sz w:val="28"/>
          <w:szCs w:val="28"/>
          <w:lang w:eastAsia="zh-CN"/>
        </w:rPr>
        <w:t>，</w:t>
      </w:r>
      <w:r>
        <w:rPr>
          <w:rFonts w:hint="eastAsia" w:ascii="仿宋" w:hAnsi="仿宋" w:eastAsia="仿宋"/>
          <w:sz w:val="28"/>
          <w:szCs w:val="28"/>
        </w:rPr>
        <w:t>国家电投集团内蒙古能源有限公司计划与财务部部门总监、配售电公司总会计师</w:t>
      </w:r>
      <w:r>
        <w:rPr>
          <w:rFonts w:hint="eastAsia" w:ascii="仿宋" w:hAnsi="仿宋" w:eastAsia="仿宋"/>
          <w:sz w:val="28"/>
          <w:szCs w:val="28"/>
          <w:lang w:eastAsia="zh-CN"/>
        </w:rPr>
        <w:t>，</w:t>
      </w:r>
      <w:r>
        <w:rPr>
          <w:rFonts w:hint="eastAsia" w:ascii="仿宋" w:hAnsi="仿宋" w:eastAsia="仿宋"/>
          <w:sz w:val="28"/>
          <w:szCs w:val="28"/>
        </w:rPr>
        <w:t>国家电投集团内蒙古能源有限公司计划与财务部部门总监（主持工作）、配售电公司总会计师</w:t>
      </w:r>
      <w:r>
        <w:rPr>
          <w:rFonts w:hint="eastAsia" w:ascii="仿宋" w:hAnsi="仿宋" w:eastAsia="仿宋"/>
          <w:sz w:val="28"/>
          <w:szCs w:val="28"/>
          <w:lang w:eastAsia="zh-CN"/>
        </w:rPr>
        <w:t>、</w:t>
      </w:r>
      <w:r>
        <w:rPr>
          <w:rFonts w:hint="eastAsia" w:ascii="仿宋" w:hAnsi="仿宋" w:eastAsia="仿宋"/>
          <w:sz w:val="28"/>
          <w:szCs w:val="28"/>
        </w:rPr>
        <w:t>白音华煤电公司、元通发电公司、中电物流公司总会计师</w:t>
      </w:r>
      <w:r>
        <w:rPr>
          <w:rFonts w:hint="eastAsia" w:ascii="仿宋" w:hAnsi="仿宋" w:eastAsia="仿宋"/>
          <w:sz w:val="28"/>
          <w:szCs w:val="28"/>
          <w:lang w:eastAsia="zh-CN"/>
        </w:rPr>
        <w:t>，</w:t>
      </w:r>
      <w:r>
        <w:rPr>
          <w:rFonts w:hint="eastAsia" w:ascii="仿宋" w:hAnsi="仿宋" w:eastAsia="仿宋"/>
          <w:sz w:val="28"/>
          <w:szCs w:val="28"/>
        </w:rPr>
        <w:t>国家电投集团内蒙古能源有限公司计划与财务部主任</w:t>
      </w:r>
      <w:r>
        <w:rPr>
          <w:rFonts w:hint="eastAsia" w:ascii="仿宋" w:hAnsi="仿宋" w:eastAsia="仿宋"/>
          <w:sz w:val="28"/>
          <w:szCs w:val="28"/>
          <w:lang w:eastAsia="zh-CN"/>
        </w:rPr>
        <w:t>，</w:t>
      </w:r>
      <w:r>
        <w:rPr>
          <w:rFonts w:hint="eastAsia" w:ascii="仿宋" w:hAnsi="仿宋" w:eastAsia="仿宋"/>
          <w:sz w:val="28"/>
          <w:szCs w:val="28"/>
        </w:rPr>
        <w:t>国家电投集团内蒙古能源有限公司计划与财务部主任、土地监管中心主任</w:t>
      </w:r>
      <w:r>
        <w:rPr>
          <w:rFonts w:hint="eastAsia" w:ascii="仿宋" w:hAnsi="仿宋" w:eastAsia="仿宋"/>
          <w:sz w:val="28"/>
          <w:szCs w:val="28"/>
          <w:lang w:eastAsia="zh-CN"/>
        </w:rPr>
        <w:t>，</w:t>
      </w:r>
      <w:r>
        <w:rPr>
          <w:rFonts w:hint="eastAsia" w:ascii="仿宋" w:hAnsi="仿宋" w:eastAsia="仿宋"/>
          <w:sz w:val="28"/>
          <w:szCs w:val="28"/>
        </w:rPr>
        <w:t>内蒙古公司计划与财务部主任</w:t>
      </w:r>
      <w:r>
        <w:rPr>
          <w:rFonts w:hint="eastAsia" w:ascii="仿宋" w:hAnsi="仿宋" w:eastAsia="仿宋"/>
          <w:sz w:val="28"/>
          <w:szCs w:val="28"/>
          <w:lang w:eastAsia="zh-CN"/>
        </w:rPr>
        <w:t>。</w:t>
      </w:r>
    </w:p>
    <w:p w14:paraId="5DBAEC92">
      <w:pPr>
        <w:ind w:firstLine="560" w:firstLineChars="200"/>
        <w:rPr>
          <w:rFonts w:hAnsi="仿宋" w:eastAsia="仿宋"/>
          <w:bCs/>
          <w:sz w:val="28"/>
          <w:szCs w:val="28"/>
        </w:rPr>
      </w:pPr>
      <w:r>
        <w:rPr>
          <w:rFonts w:hint="eastAsia" w:eastAsia="仿宋_GB2312"/>
          <w:bCs/>
          <w:sz w:val="28"/>
          <w:szCs w:val="28"/>
          <w:highlight w:val="none"/>
          <w:lang w:val="en-US" w:eastAsia="zh-CN"/>
        </w:rPr>
        <w:t>王胜</w:t>
      </w:r>
      <w:r>
        <w:rPr>
          <w:rFonts w:hint="eastAsia" w:hAnsi="仿宋" w:eastAsia="仿宋"/>
          <w:bCs/>
          <w:sz w:val="28"/>
          <w:szCs w:val="28"/>
          <w:highlight w:val="none"/>
        </w:rPr>
        <w:t>先生</w:t>
      </w:r>
      <w:r>
        <w:rPr>
          <w:rFonts w:hint="eastAsia" w:hAnsi="仿宋" w:eastAsia="仿宋"/>
          <w:bCs/>
          <w:sz w:val="28"/>
          <w:szCs w:val="28"/>
          <w:highlight w:val="none"/>
          <w:lang w:val="en-US" w:eastAsia="zh-CN"/>
        </w:rPr>
        <w:t>不</w:t>
      </w:r>
      <w:r>
        <w:rPr>
          <w:rFonts w:hint="eastAsia" w:hAnsi="仿宋" w:eastAsia="仿宋"/>
          <w:bCs/>
          <w:sz w:val="28"/>
          <w:szCs w:val="28"/>
          <w:highlight w:val="none"/>
        </w:rPr>
        <w:t>持有公司股票；不存在《公司法》第一百</w:t>
      </w:r>
      <w:r>
        <w:rPr>
          <w:rFonts w:hint="eastAsia" w:hAnsi="仿宋" w:eastAsia="仿宋"/>
          <w:bCs/>
          <w:sz w:val="28"/>
          <w:szCs w:val="28"/>
          <w:highlight w:val="none"/>
          <w:lang w:val="en-US" w:eastAsia="zh-CN"/>
        </w:rPr>
        <w:t>七十八</w:t>
      </w:r>
      <w:r>
        <w:rPr>
          <w:rFonts w:hint="eastAsia" w:hAnsi="仿宋" w:eastAsia="仿宋"/>
          <w:bCs/>
          <w:sz w:val="28"/>
          <w:szCs w:val="28"/>
          <w:highlight w:val="none"/>
        </w:rPr>
        <w:t>条规定的情形之一；未被中国证监会采取证券市场禁入措施；未被证券交易所公开认定为不适合担任上市公司董事</w:t>
      </w:r>
      <w:r>
        <w:rPr>
          <w:rFonts w:hint="eastAsia" w:hAnsi="仿宋" w:eastAsia="仿宋"/>
          <w:bCs/>
          <w:sz w:val="28"/>
          <w:szCs w:val="28"/>
        </w:rPr>
        <w:t>、监事和高级管理人员；最近三年内未受到中国证监会行政处罚；最近三年内未受到证券交易所公开谴责或者三次以上通报批评；不存在因涉嫌犯罪被司法机关立案侦查或者涉嫌违法违规被中国证监会立案调查，尚未有明确结论意见的情形；未被中国证监会</w:t>
      </w:r>
      <w:r>
        <w:rPr>
          <w:rFonts w:hint="eastAsia" w:hAnsi="仿宋" w:eastAsia="仿宋"/>
          <w:bCs/>
          <w:sz w:val="28"/>
          <w:szCs w:val="28"/>
          <w:highlight w:val="none"/>
        </w:rPr>
        <w:t>在证券期货市场违法失信信息公开查询平台公示或者被人民法院纳入失信被执行人名单；与控股股东、实际控制人</w:t>
      </w:r>
      <w:r>
        <w:rPr>
          <w:rFonts w:hint="eastAsia" w:hAnsi="仿宋" w:eastAsia="仿宋"/>
          <w:bCs/>
          <w:sz w:val="28"/>
          <w:szCs w:val="28"/>
          <w:highlight w:val="none"/>
          <w:lang w:val="en-US" w:eastAsia="zh-CN"/>
        </w:rPr>
        <w:t>及</w:t>
      </w:r>
      <w:r>
        <w:rPr>
          <w:rFonts w:hint="eastAsia" w:hAnsi="仿宋" w:eastAsia="仿宋"/>
          <w:bCs/>
          <w:sz w:val="28"/>
          <w:szCs w:val="28"/>
          <w:highlight w:val="none"/>
        </w:rPr>
        <w:t>其他持有公司5%以上股份的股东、公司其他董事、监事和高级管理人员不存在关联关系；符</w:t>
      </w:r>
      <w:r>
        <w:rPr>
          <w:rFonts w:hint="eastAsia" w:hAnsi="仿宋" w:eastAsia="仿宋"/>
          <w:bCs/>
          <w:sz w:val="28"/>
          <w:szCs w:val="28"/>
        </w:rPr>
        <w:t>合有关法律、行政法规、部门规章、规范性文件、《股票上市规则》及交易所其他相关规定要求的任职资格。</w:t>
      </w:r>
    </w:p>
    <w:p w14:paraId="3DF03110">
      <w:pPr>
        <w:ind w:firstLine="560" w:firstLineChars="200"/>
        <w:rPr>
          <w:rFonts w:hint="eastAsia" w:ascii="仿宋" w:hAnsi="仿宋" w:eastAsia="仿宋"/>
          <w:sz w:val="28"/>
          <w:szCs w:val="28"/>
          <w:lang w:eastAsia="zh-CN"/>
        </w:rPr>
      </w:pPr>
    </w:p>
    <w:p w14:paraId="29874586">
      <w:pPr>
        <w:keepNext w:val="0"/>
        <w:keepLines w:val="0"/>
        <w:pageBreakBefore w:val="0"/>
        <w:widowControl/>
        <w:suppressLineNumbers w:val="0"/>
        <w:kinsoku/>
        <w:wordWrap/>
        <w:overflowPunct/>
        <w:topLinePunct w:val="0"/>
        <w:bidi w:val="0"/>
        <w:snapToGrid/>
        <w:spacing w:line="600" w:lineRule="exact"/>
        <w:ind w:firstLine="560" w:firstLineChars="200"/>
        <w:jc w:val="left"/>
        <w:textAlignment w:val="auto"/>
        <w:rPr>
          <w:rFonts w:hint="eastAsia" w:hAnsi="仿宋" w:eastAsia="仿宋"/>
          <w:bCs/>
          <w:sz w:val="28"/>
          <w:szCs w:val="28"/>
          <w:highlight w:val="none"/>
          <w:lang w:val="en-US" w:eastAsia="zh-CN"/>
        </w:rPr>
      </w:pPr>
    </w:p>
    <w:p w14:paraId="16CB7D70">
      <w:pPr>
        <w:rPr>
          <w:rFonts w:hint="eastAsia"/>
        </w:rPr>
      </w:pP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3BB36">
    <w:pPr>
      <w:pStyle w:val="13"/>
      <w:framePr w:wrap="around" w:vAnchor="text" w:hAnchor="margin" w:xAlign="center" w:y="1"/>
      <w:rPr>
        <w:rStyle w:val="24"/>
      </w:rPr>
    </w:pPr>
    <w:r>
      <w:fldChar w:fldCharType="begin"/>
    </w:r>
    <w:r>
      <w:rPr>
        <w:rStyle w:val="24"/>
      </w:rPr>
      <w:instrText xml:space="preserve">PAGE  </w:instrText>
    </w:r>
    <w:r>
      <w:fldChar w:fldCharType="end"/>
    </w:r>
  </w:p>
  <w:p w14:paraId="5690E577">
    <w:pPr>
      <w:pStyle w:val="13"/>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