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E7AD192">
      <w:pPr>
        <w:rPr>
          <w:rFonts w:hint="default" w:ascii="Times New Roman" w:hAnsi="Times New Roman" w:eastAsia="宋体"/>
          <w:sz w:val="21"/>
          <w:szCs w:val="21"/>
          <w:lang w:val="en-US" w:eastAsia="zh-CN"/>
        </w:rPr>
      </w:pPr>
      <w:bookmarkStart w:id="0" w:name="_GoBack"/>
      <w:bookmarkEnd w:id="0"/>
      <w:r>
        <w:rPr>
          <w:rFonts w:ascii="Times New Roman" w:hAnsi="Times New Roman"/>
          <w:sz w:val="21"/>
          <w:szCs w:val="21"/>
        </w:rPr>
        <w:t>证券代码：00087</w:t>
      </w:r>
      <w:r>
        <w:rPr>
          <w:rFonts w:hint="eastAsia" w:ascii="Times New Roman" w:hAnsi="Times New Roman"/>
          <w:sz w:val="21"/>
          <w:szCs w:val="21"/>
        </w:rPr>
        <w:t xml:space="preserve">5            </w:t>
      </w:r>
      <w:r>
        <w:rPr>
          <w:rFonts w:ascii="Times New Roman" w:hAnsi="Times New Roman"/>
          <w:sz w:val="21"/>
          <w:szCs w:val="21"/>
        </w:rPr>
        <w:t>证券简称：吉电股份</w:t>
      </w:r>
      <w:r>
        <w:rPr>
          <w:rFonts w:hint="eastAsia" w:ascii="Times New Roman" w:hAnsi="Times New Roman"/>
          <w:sz w:val="21"/>
          <w:szCs w:val="21"/>
        </w:rPr>
        <w:t xml:space="preserve">            </w:t>
      </w:r>
      <w:r>
        <w:rPr>
          <w:rFonts w:ascii="Times New Roman" w:hAnsi="Times New Roman"/>
          <w:sz w:val="21"/>
          <w:szCs w:val="21"/>
        </w:rPr>
        <w:t>公告编号：</w:t>
      </w:r>
      <w:r>
        <w:rPr>
          <w:rFonts w:hint="eastAsia" w:ascii="Times New Roman" w:hAnsi="Times New Roman"/>
          <w:sz w:val="21"/>
          <w:szCs w:val="21"/>
          <w:lang w:eastAsia="zh-CN"/>
        </w:rPr>
        <w:t>2025</w:t>
      </w:r>
      <w:r>
        <w:rPr>
          <w:rFonts w:ascii="Times New Roman" w:hAnsi="Times New Roman"/>
          <w:sz w:val="21"/>
          <w:szCs w:val="21"/>
        </w:rPr>
        <w:t>-0</w:t>
      </w:r>
      <w:r>
        <w:rPr>
          <w:rFonts w:hint="eastAsia" w:ascii="Times New Roman" w:hAnsi="Times New Roman"/>
          <w:sz w:val="21"/>
          <w:szCs w:val="21"/>
          <w:lang w:val="en-US" w:eastAsia="zh-CN"/>
        </w:rPr>
        <w:t>51</w:t>
      </w:r>
    </w:p>
    <w:p w14:paraId="32D10D61">
      <w:pPr>
        <w:jc w:val="left"/>
        <w:rPr>
          <w:b/>
          <w:sz w:val="44"/>
          <w:szCs w:val="44"/>
        </w:rPr>
      </w:pPr>
      <w:r>
        <w:rPr>
          <w:rFonts w:ascii="Times New Roman" w:hAnsi="Times New Roman"/>
          <w:color w:val="FF6600"/>
        </w:rPr>
        <mc:AlternateContent>
          <mc:Choice Requires="wps">
            <w:drawing>
              <wp:anchor distT="0" distB="0" distL="114300" distR="114300" simplePos="0" relativeHeight="251659264" behindDoc="0" locked="0" layoutInCell="1" allowOverlap="1">
                <wp:simplePos x="0" y="0"/>
                <wp:positionH relativeFrom="column">
                  <wp:posOffset>-68580</wp:posOffset>
                </wp:positionH>
                <wp:positionV relativeFrom="paragraph">
                  <wp:posOffset>76200</wp:posOffset>
                </wp:positionV>
                <wp:extent cx="5417820" cy="22860"/>
                <wp:effectExtent l="0" t="28575" r="7620" b="40005"/>
                <wp:wrapNone/>
                <wp:docPr id="1" name="Line 2"/>
                <wp:cNvGraphicFramePr/>
                <a:graphic xmlns:a="http://schemas.openxmlformats.org/drawingml/2006/main">
                  <a:graphicData uri="http://schemas.microsoft.com/office/word/2010/wordprocessingShape">
                    <wps:wsp>
                      <wps:cNvCnPr/>
                      <wps:spPr>
                        <a:xfrm flipV="1">
                          <a:off x="0" y="0"/>
                          <a:ext cx="5417820" cy="22860"/>
                        </a:xfrm>
                        <a:prstGeom prst="line">
                          <a:avLst/>
                        </a:prstGeom>
                        <a:ln w="57150" cap="flat" cmpd="thinThick">
                          <a:solidFill>
                            <a:srgbClr val="FF6600"/>
                          </a:solidFill>
                          <a:prstDash val="solid"/>
                          <a:headEnd type="none" w="med" len="med"/>
                          <a:tailEnd type="none" w="med" len="med"/>
                        </a:ln>
                      </wps:spPr>
                      <wps:bodyPr/>
                    </wps:wsp>
                  </a:graphicData>
                </a:graphic>
              </wp:anchor>
            </w:drawing>
          </mc:Choice>
          <mc:Fallback>
            <w:pict>
              <v:line id="Line 2" o:spid="_x0000_s1026" o:spt="20" style="position:absolute;left:0pt;flip:y;margin-left:-5.4pt;margin-top:6pt;height:1.8pt;width:426.6pt;z-index:251659264;mso-width-relative:page;mso-height-relative:page;" filled="f" stroked="t" coordsize="21600,21600" o:gfxdata="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">
                <v:fill on="f" focussize="0,0"/>
                <v:stroke weight="4.5pt" color="#FF6600" linestyle="thinThick" joinstyle="round"/>
                <v:imagedata o:title=""/>
                <o:lock v:ext="edit" aspectratio="f"/>
              </v:line>
            </w:pict>
          </mc:Fallback>
        </mc:AlternateContent>
      </w:r>
    </w:p>
    <w:p w14:paraId="12D15CA1">
      <w:pPr>
        <w:jc w:val="center"/>
        <w:rPr>
          <w:rFonts w:ascii="Times New Roman" w:hAnsi="Times New Roman"/>
          <w:b/>
          <w:sz w:val="44"/>
          <w:szCs w:val="44"/>
        </w:rPr>
      </w:pPr>
      <w:r>
        <w:rPr>
          <w:rFonts w:ascii="Times New Roman"/>
          <w:b/>
          <w:sz w:val="44"/>
          <w:szCs w:val="44"/>
        </w:rPr>
        <w:t>吉林电力股份有限公司</w:t>
      </w:r>
    </w:p>
    <w:p w14:paraId="0F34A6E0">
      <w:pPr>
        <w:jc w:val="center"/>
        <w:rPr>
          <w:rFonts w:hint="eastAsia" w:ascii="Times New Roman" w:hAnsi="Times New Roman"/>
          <w:b/>
          <w:sz w:val="44"/>
          <w:szCs w:val="44"/>
        </w:rPr>
      </w:pPr>
      <w:r>
        <w:rPr>
          <w:rFonts w:hint="eastAsia" w:ascii="Times New Roman" w:hAnsi="Times New Roman"/>
          <w:b/>
          <w:sz w:val="44"/>
          <w:szCs w:val="44"/>
        </w:rPr>
        <w:t>大安风光制绿氢合成氨一体化示范项目</w:t>
      </w:r>
    </w:p>
    <w:p w14:paraId="5EEB2C2F">
      <w:pPr>
        <w:jc w:val="center"/>
        <w:rPr>
          <w:rFonts w:ascii="Times New Roman" w:hAnsi="Times New Roman"/>
          <w:b/>
          <w:sz w:val="44"/>
          <w:szCs w:val="44"/>
        </w:rPr>
      </w:pPr>
      <w:r>
        <w:rPr>
          <w:rFonts w:hint="eastAsia" w:ascii="Times New Roman" w:hAnsi="Times New Roman"/>
          <w:b/>
          <w:sz w:val="44"/>
          <w:szCs w:val="44"/>
          <w:lang w:val="en-US" w:eastAsia="zh-CN"/>
        </w:rPr>
        <w:t>进展</w:t>
      </w:r>
      <w:r>
        <w:rPr>
          <w:rFonts w:ascii="Times New Roman"/>
          <w:b/>
          <w:sz w:val="44"/>
          <w:szCs w:val="44"/>
        </w:rPr>
        <w:t>公告</w:t>
      </w:r>
    </w:p>
    <w:p w14:paraId="2B44B0A1">
      <w:pPr>
        <w:pStyle w:val="3"/>
      </w:pPr>
    </w:p>
    <w:p w14:paraId="0A2A93F1">
      <w:pPr>
        <w:ind w:firstLine="560" w:firstLineChars="200"/>
        <w:rPr>
          <w:rFonts w:eastAsia="仿宋"/>
          <w:b/>
          <w:szCs w:val="28"/>
        </w:rPr>
      </w:pPr>
      <w:r>
        <w:rPr>
          <w:rFonts w:hAnsi="仿宋" w:eastAsia="仿宋"/>
          <w:b/>
          <w:szCs w:val="28"/>
        </w:rPr>
        <w:t>本公司及董事会全体成员保证公告内容的真实、准确、完整，没有虚假记载、误导性陈述或重大遗漏。</w:t>
      </w:r>
    </w:p>
    <w:p w14:paraId="5C7A477B">
      <w:pPr>
        <w:pStyle w:val="3"/>
      </w:pPr>
    </w:p>
    <w:p w14:paraId="0475D6EC">
      <w:pPr>
        <w:pStyle w:val="3"/>
        <w:keepNext w:val="0"/>
        <w:keepLines w:val="0"/>
        <w:pageBreakBefore w:val="0"/>
        <w:widowControl w:val="0"/>
        <w:kinsoku/>
        <w:wordWrap/>
        <w:overflowPunct/>
        <w:topLinePunct w:val="0"/>
        <w:autoSpaceDE/>
        <w:autoSpaceDN/>
        <w:bidi w:val="0"/>
        <w:adjustRightInd/>
        <w:snapToGrid w:val="0"/>
        <w:spacing w:after="0"/>
        <w:textAlignment w:val="auto"/>
        <w:rPr>
          <w:rFonts w:hint="eastAsia" w:ascii="Times New Roman" w:hAnsi="Times New Roman" w:eastAsia="仿宋"/>
          <w:szCs w:val="28"/>
          <w:lang w:eastAsia="zh-CN" w:bidi="ar"/>
        </w:rPr>
      </w:pPr>
      <w:r>
        <w:rPr>
          <w:rFonts w:hint="eastAsia" w:ascii="Times New Roman" w:hAnsi="Times New Roman" w:eastAsia="仿宋"/>
          <w:bCs/>
          <w:szCs w:val="28"/>
          <w:lang w:val="en-US" w:eastAsia="zh-CN"/>
        </w:rPr>
        <w:t>吉林电力股份有限公司（以下简称“公司”）于</w:t>
      </w:r>
      <w:r>
        <w:rPr>
          <w:rFonts w:ascii="Times New Roman" w:hAnsi="Times New Roman" w:eastAsia="仿宋"/>
          <w:color w:val="000000"/>
          <w:kern w:val="0"/>
          <w:szCs w:val="28"/>
        </w:rPr>
        <w:t xml:space="preserve"> 2022年1</w:t>
      </w:r>
      <w:r>
        <w:rPr>
          <w:rFonts w:hint="eastAsia" w:ascii="Times New Roman" w:hAnsi="Times New Roman" w:eastAsia="仿宋"/>
          <w:color w:val="000000"/>
          <w:kern w:val="0"/>
          <w:szCs w:val="28"/>
        </w:rPr>
        <w:t>2</w:t>
      </w:r>
      <w:r>
        <w:rPr>
          <w:rFonts w:ascii="Times New Roman" w:hAnsi="Times New Roman" w:eastAsia="仿宋"/>
          <w:color w:val="000000"/>
          <w:kern w:val="0"/>
          <w:szCs w:val="28"/>
        </w:rPr>
        <w:t>月</w:t>
      </w:r>
      <w:r>
        <w:rPr>
          <w:rFonts w:hint="eastAsia" w:ascii="Times New Roman" w:hAnsi="Times New Roman" w:eastAsia="仿宋"/>
          <w:color w:val="000000"/>
          <w:kern w:val="0"/>
          <w:szCs w:val="28"/>
        </w:rPr>
        <w:t>30</w:t>
      </w:r>
      <w:r>
        <w:rPr>
          <w:rFonts w:ascii="Times New Roman" w:hAnsi="Times New Roman" w:eastAsia="仿宋"/>
          <w:color w:val="000000"/>
          <w:kern w:val="0"/>
          <w:szCs w:val="28"/>
        </w:rPr>
        <w:t>日</w:t>
      </w:r>
      <w:r>
        <w:rPr>
          <w:rFonts w:hint="eastAsia" w:ascii="Times New Roman" w:hAnsi="Times New Roman" w:eastAsia="仿宋"/>
          <w:color w:val="000000"/>
          <w:kern w:val="0"/>
          <w:szCs w:val="28"/>
          <w:lang w:val="en-US" w:eastAsia="zh-CN"/>
        </w:rPr>
        <w:t>、</w:t>
      </w:r>
      <w:r>
        <w:rPr>
          <w:rFonts w:ascii="Times New Roman" w:hAnsi="Times New Roman" w:eastAsia="仿宋"/>
          <w:kern w:val="0"/>
          <w:sz w:val="28"/>
          <w:szCs w:val="28"/>
        </w:rPr>
        <w:t>2023年1月</w:t>
      </w:r>
      <w:r>
        <w:rPr>
          <w:rFonts w:hint="eastAsia" w:ascii="Times New Roman" w:hAnsi="Times New Roman" w:eastAsia="仿宋"/>
          <w:kern w:val="0"/>
          <w:sz w:val="28"/>
          <w:szCs w:val="28"/>
        </w:rPr>
        <w:t>1</w:t>
      </w:r>
      <w:r>
        <w:rPr>
          <w:rFonts w:ascii="Times New Roman" w:hAnsi="Times New Roman" w:eastAsia="仿宋"/>
          <w:kern w:val="0"/>
          <w:sz w:val="28"/>
          <w:szCs w:val="28"/>
        </w:rPr>
        <w:t>8日</w:t>
      </w:r>
      <w:r>
        <w:rPr>
          <w:rFonts w:hint="eastAsia" w:ascii="Times New Roman" w:hAnsi="Times New Roman" w:eastAsia="仿宋"/>
          <w:kern w:val="0"/>
          <w:sz w:val="28"/>
          <w:szCs w:val="28"/>
          <w:lang w:val="en-US" w:eastAsia="zh-CN"/>
        </w:rPr>
        <w:t>分别召开</w:t>
      </w:r>
      <w:r>
        <w:rPr>
          <w:rFonts w:ascii="Times New Roman" w:hAnsi="Times New Roman" w:eastAsia="仿宋"/>
          <w:szCs w:val="28"/>
        </w:rPr>
        <w:t>第九届董事会第</w:t>
      </w:r>
      <w:r>
        <w:rPr>
          <w:rFonts w:hint="eastAsia" w:ascii="Times New Roman" w:hAnsi="Times New Roman" w:eastAsia="仿宋"/>
          <w:szCs w:val="28"/>
        </w:rPr>
        <w:t>五</w:t>
      </w:r>
      <w:r>
        <w:rPr>
          <w:rFonts w:ascii="Times New Roman" w:hAnsi="Times New Roman" w:eastAsia="仿宋"/>
          <w:szCs w:val="28"/>
        </w:rPr>
        <w:t>次会议</w:t>
      </w:r>
      <w:r>
        <w:rPr>
          <w:rFonts w:hint="eastAsia" w:ascii="Times New Roman" w:hAnsi="Times New Roman" w:eastAsia="仿宋"/>
          <w:szCs w:val="28"/>
          <w:lang w:eastAsia="zh-CN"/>
        </w:rPr>
        <w:t>、</w:t>
      </w:r>
      <w:r>
        <w:rPr>
          <w:rFonts w:hint="eastAsia" w:ascii="Times New Roman" w:hAnsi="Times New Roman" w:eastAsia="仿宋"/>
          <w:color w:val="000000"/>
          <w:kern w:val="0"/>
          <w:sz w:val="28"/>
          <w:szCs w:val="28"/>
          <w:lang w:bidi="ar"/>
        </w:rPr>
        <w:t>202</w:t>
      </w:r>
      <w:r>
        <w:rPr>
          <w:rFonts w:ascii="Times New Roman" w:hAnsi="Times New Roman" w:eastAsia="仿宋"/>
          <w:color w:val="000000"/>
          <w:kern w:val="0"/>
          <w:sz w:val="28"/>
          <w:szCs w:val="28"/>
          <w:lang w:bidi="ar"/>
        </w:rPr>
        <w:t>3</w:t>
      </w:r>
      <w:r>
        <w:rPr>
          <w:rFonts w:hint="eastAsia" w:ascii="Times New Roman" w:hAnsi="Times New Roman" w:eastAsia="仿宋"/>
          <w:color w:val="000000"/>
          <w:kern w:val="0"/>
          <w:sz w:val="28"/>
          <w:szCs w:val="28"/>
          <w:lang w:bidi="ar"/>
        </w:rPr>
        <w:t>年第一次临时</w:t>
      </w:r>
      <w:r>
        <w:rPr>
          <w:rFonts w:ascii="Times New Roman" w:hAnsi="Times New Roman" w:eastAsia="仿宋"/>
          <w:color w:val="000000"/>
          <w:kern w:val="0"/>
          <w:sz w:val="28"/>
          <w:szCs w:val="28"/>
          <w:lang w:bidi="ar"/>
        </w:rPr>
        <w:t>股东大会</w:t>
      </w:r>
      <w:r>
        <w:rPr>
          <w:rFonts w:hint="eastAsia" w:ascii="Times New Roman" w:hAnsi="Times New Roman" w:eastAsia="仿宋"/>
          <w:color w:val="000000"/>
          <w:kern w:val="0"/>
          <w:sz w:val="28"/>
          <w:szCs w:val="28"/>
          <w:lang w:eastAsia="zh-CN" w:bidi="ar"/>
        </w:rPr>
        <w:t>，</w:t>
      </w:r>
      <w:r>
        <w:rPr>
          <w:rFonts w:hint="eastAsia" w:ascii="Times New Roman" w:hAnsi="Times New Roman" w:eastAsia="仿宋"/>
          <w:color w:val="000000"/>
          <w:kern w:val="0"/>
          <w:sz w:val="28"/>
          <w:szCs w:val="28"/>
          <w:lang w:val="en-US" w:eastAsia="zh-CN" w:bidi="ar"/>
        </w:rPr>
        <w:t>审议通过了《</w:t>
      </w:r>
      <w:r>
        <w:rPr>
          <w:rFonts w:hint="eastAsia" w:ascii="Times New Roman" w:hAnsi="Times New Roman" w:eastAsia="仿宋"/>
          <w:color w:val="000000"/>
          <w:kern w:val="0"/>
          <w:szCs w:val="21"/>
        </w:rPr>
        <w:t>关于投资建设大安风光制绿氢合成氨一体化示范项目的议案</w:t>
      </w:r>
      <w:r>
        <w:rPr>
          <w:rFonts w:hint="eastAsia" w:ascii="Times New Roman" w:hAnsi="Times New Roman" w:eastAsia="仿宋"/>
          <w:color w:val="000000"/>
          <w:kern w:val="0"/>
          <w:szCs w:val="21"/>
          <w:lang w:eastAsia="zh-CN"/>
        </w:rPr>
        <w:t>》，</w:t>
      </w:r>
      <w:r>
        <w:rPr>
          <w:rFonts w:hint="eastAsia" w:ascii="Times New Roman" w:hAnsi="Times New Roman" w:eastAsia="仿宋"/>
          <w:color w:val="000000"/>
          <w:kern w:val="0"/>
          <w:szCs w:val="21"/>
          <w:lang w:val="en-US" w:eastAsia="zh-CN"/>
        </w:rPr>
        <w:t>同意</w:t>
      </w:r>
      <w:r>
        <w:rPr>
          <w:rFonts w:ascii="Times New Roman" w:hAnsi="Times New Roman" w:eastAsia="仿宋"/>
          <w:szCs w:val="28"/>
        </w:rPr>
        <w:t>公司</w:t>
      </w:r>
      <w:r>
        <w:rPr>
          <w:rFonts w:ascii="Times New Roman" w:hAnsi="Times New Roman" w:eastAsia="仿宋"/>
          <w:color w:val="000000"/>
          <w:szCs w:val="28"/>
        </w:rPr>
        <w:t>全资子公司——</w:t>
      </w:r>
      <w:r>
        <w:rPr>
          <w:rFonts w:ascii="Times New Roman" w:hAnsi="Times New Roman" w:eastAsia="仿宋"/>
          <w:szCs w:val="28"/>
          <w:lang w:bidi="ar"/>
        </w:rPr>
        <w:t>大安吉电绿氢能源有限公司投资建设大安风光制绿氢合成氨一体化示范项目</w:t>
      </w:r>
      <w:r>
        <w:rPr>
          <w:rFonts w:hint="eastAsia" w:ascii="Times New Roman" w:hAnsi="Times New Roman" w:eastAsia="仿宋"/>
          <w:szCs w:val="28"/>
          <w:lang w:eastAsia="zh-CN" w:bidi="ar"/>
        </w:rPr>
        <w:t>，</w:t>
      </w:r>
      <w:r>
        <w:rPr>
          <w:rFonts w:hint="eastAsia" w:ascii="Times New Roman" w:hAnsi="Times New Roman" w:eastAsia="仿宋"/>
          <w:szCs w:val="28"/>
          <w:lang w:val="en-US" w:eastAsia="zh-CN" w:bidi="ar"/>
        </w:rPr>
        <w:t>项目详情请见公司于</w:t>
      </w:r>
      <w:r>
        <w:rPr>
          <w:rFonts w:ascii="Times New Roman" w:hAnsi="Times New Roman" w:eastAsia="仿宋"/>
          <w:color w:val="000000"/>
          <w:kern w:val="0"/>
          <w:szCs w:val="28"/>
        </w:rPr>
        <w:t>2022年1</w:t>
      </w:r>
      <w:r>
        <w:rPr>
          <w:rFonts w:hint="eastAsia" w:ascii="Times New Roman" w:hAnsi="Times New Roman" w:eastAsia="仿宋"/>
          <w:color w:val="000000"/>
          <w:kern w:val="0"/>
          <w:szCs w:val="28"/>
        </w:rPr>
        <w:t>2</w:t>
      </w:r>
      <w:r>
        <w:rPr>
          <w:rFonts w:ascii="Times New Roman" w:hAnsi="Times New Roman" w:eastAsia="仿宋"/>
          <w:color w:val="000000"/>
          <w:kern w:val="0"/>
          <w:szCs w:val="28"/>
        </w:rPr>
        <w:t>月</w:t>
      </w:r>
      <w:r>
        <w:rPr>
          <w:rFonts w:hint="eastAsia" w:ascii="Times New Roman" w:hAnsi="Times New Roman" w:eastAsia="仿宋"/>
          <w:color w:val="000000"/>
          <w:kern w:val="0"/>
          <w:szCs w:val="28"/>
        </w:rPr>
        <w:t>3</w:t>
      </w:r>
      <w:r>
        <w:rPr>
          <w:rFonts w:hint="eastAsia" w:ascii="Times New Roman" w:hAnsi="Times New Roman" w:eastAsia="仿宋"/>
          <w:color w:val="000000"/>
          <w:kern w:val="0"/>
          <w:szCs w:val="28"/>
          <w:lang w:val="en-US" w:eastAsia="zh-CN"/>
        </w:rPr>
        <w:t>1</w:t>
      </w:r>
      <w:r>
        <w:rPr>
          <w:rFonts w:ascii="Times New Roman" w:hAnsi="Times New Roman" w:eastAsia="仿宋"/>
          <w:color w:val="000000"/>
          <w:kern w:val="0"/>
          <w:szCs w:val="28"/>
        </w:rPr>
        <w:t>日</w:t>
      </w:r>
      <w:r>
        <w:rPr>
          <w:rFonts w:hint="eastAsia" w:ascii="Times New Roman" w:hAnsi="Times New Roman" w:eastAsia="仿宋"/>
          <w:szCs w:val="28"/>
          <w:lang w:val="en-US" w:eastAsia="zh-CN" w:bidi="ar"/>
        </w:rPr>
        <w:t>披露的《关于投资建设大安风光制绿氢合成氨一体化示范项目的公告》（公告编号：2022-106）</w:t>
      </w:r>
      <w:r>
        <w:rPr>
          <w:rFonts w:hint="eastAsia" w:ascii="Times New Roman" w:hAnsi="Times New Roman" w:eastAsia="仿宋"/>
          <w:szCs w:val="28"/>
          <w:lang w:eastAsia="zh-CN" w:bidi="ar"/>
        </w:rPr>
        <w:t>。</w:t>
      </w:r>
    </w:p>
    <w:p w14:paraId="733D8C56">
      <w:pPr>
        <w:pStyle w:val="3"/>
        <w:keepNext w:val="0"/>
        <w:keepLines w:val="0"/>
        <w:pageBreakBefore w:val="0"/>
        <w:widowControl w:val="0"/>
        <w:kinsoku/>
        <w:wordWrap/>
        <w:overflowPunct/>
        <w:topLinePunct w:val="0"/>
        <w:autoSpaceDE/>
        <w:autoSpaceDN/>
        <w:bidi w:val="0"/>
        <w:adjustRightInd/>
        <w:snapToGrid w:val="0"/>
        <w:spacing w:after="0"/>
        <w:textAlignment w:val="auto"/>
        <w:rPr>
          <w:rFonts w:hint="default" w:ascii="Times New Roman" w:hAnsi="Times New Roman" w:eastAsia="仿宋"/>
          <w:color w:val="000000"/>
          <w:kern w:val="0"/>
          <w:sz w:val="28"/>
          <w:szCs w:val="28"/>
          <w:lang w:val="en-US" w:eastAsia="zh-CN" w:bidi="ar"/>
        </w:rPr>
      </w:pPr>
      <w:r>
        <w:rPr>
          <w:rFonts w:hint="default" w:ascii="Times New Roman" w:hAnsi="Times New Roman" w:eastAsia="仿宋"/>
          <w:color w:val="000000"/>
          <w:kern w:val="0"/>
          <w:sz w:val="28"/>
          <w:szCs w:val="28"/>
          <w:lang w:val="en-US" w:eastAsia="zh-CN" w:bidi="ar"/>
        </w:rPr>
        <w:t>目前</w:t>
      </w:r>
      <w:r>
        <w:rPr>
          <w:rFonts w:hint="eastAsia" w:ascii="Times New Roman" w:hAnsi="Times New Roman" w:eastAsia="仿宋"/>
          <w:color w:val="000000"/>
          <w:kern w:val="0"/>
          <w:sz w:val="28"/>
          <w:szCs w:val="28"/>
          <w:lang w:val="en-US" w:eastAsia="zh-CN" w:bidi="ar"/>
        </w:rPr>
        <w:t>，该项目各生产单元均调试成功，全系统流程已全线贯通，项目于7月26日试运行投产。</w:t>
      </w:r>
    </w:p>
    <w:p w14:paraId="5AED5820">
      <w:pPr>
        <w:pStyle w:val="3"/>
        <w:keepNext w:val="0"/>
        <w:keepLines w:val="0"/>
        <w:pageBreakBefore w:val="0"/>
        <w:widowControl w:val="0"/>
        <w:kinsoku/>
        <w:wordWrap/>
        <w:overflowPunct/>
        <w:topLinePunct w:val="0"/>
        <w:autoSpaceDE/>
        <w:autoSpaceDN/>
        <w:bidi w:val="0"/>
        <w:adjustRightInd/>
        <w:snapToGrid w:val="0"/>
        <w:spacing w:after="0"/>
        <w:textAlignment w:val="auto"/>
        <w:rPr>
          <w:rFonts w:hint="eastAsia" w:ascii="Times New Roman" w:hAnsi="Times New Roman" w:eastAsia="仿宋"/>
          <w:bCs/>
          <w:szCs w:val="28"/>
        </w:rPr>
      </w:pPr>
      <w:r>
        <w:rPr>
          <w:rFonts w:hint="eastAsia" w:ascii="Times New Roman" w:hAnsi="Times New Roman" w:eastAsia="仿宋"/>
          <w:bCs/>
          <w:szCs w:val="28"/>
        </w:rPr>
        <w:t>由于项目从试</w:t>
      </w:r>
      <w:r>
        <w:rPr>
          <w:rFonts w:hint="eastAsia" w:ascii="Times New Roman" w:hAnsi="Times New Roman" w:eastAsia="仿宋"/>
          <w:bCs/>
          <w:szCs w:val="28"/>
          <w:lang w:val="en-US" w:eastAsia="zh-CN"/>
        </w:rPr>
        <w:t>运行投产</w:t>
      </w:r>
      <w:r>
        <w:rPr>
          <w:rFonts w:hint="eastAsia" w:ascii="Times New Roman" w:hAnsi="Times New Roman" w:eastAsia="仿宋"/>
          <w:bCs/>
          <w:szCs w:val="28"/>
        </w:rPr>
        <w:t>到全面达产尚需一定时间，产能释放需要过程，</w:t>
      </w:r>
      <w:r>
        <w:rPr>
          <w:rFonts w:hint="eastAsia" w:ascii="Times New Roman" w:hAnsi="Times New Roman" w:eastAsia="仿宋"/>
          <w:bCs/>
          <w:szCs w:val="28"/>
          <w:lang w:val="en-US" w:eastAsia="zh-CN"/>
        </w:rPr>
        <w:t>公司将持续关注项目进展，及时履行信息披露义务，</w:t>
      </w:r>
      <w:r>
        <w:rPr>
          <w:rFonts w:hint="eastAsia" w:ascii="Times New Roman" w:hAnsi="Times New Roman" w:eastAsia="仿宋"/>
          <w:bCs/>
          <w:szCs w:val="28"/>
        </w:rPr>
        <w:t>敬请广大投资者关注并注意投资风险。</w:t>
      </w:r>
    </w:p>
    <w:p w14:paraId="68A80519">
      <w:pPr>
        <w:pStyle w:val="3"/>
        <w:keepNext w:val="0"/>
        <w:keepLines w:val="0"/>
        <w:pageBreakBefore w:val="0"/>
        <w:widowControl w:val="0"/>
        <w:kinsoku/>
        <w:wordWrap/>
        <w:overflowPunct/>
        <w:topLinePunct w:val="0"/>
        <w:autoSpaceDE/>
        <w:autoSpaceDN/>
        <w:bidi w:val="0"/>
        <w:adjustRightInd/>
        <w:snapToGrid w:val="0"/>
        <w:spacing w:after="0"/>
        <w:textAlignment w:val="auto"/>
        <w:rPr>
          <w:rFonts w:ascii="Times New Roman" w:hAnsi="Times New Roman" w:eastAsia="仿宋"/>
          <w:bCs/>
          <w:szCs w:val="28"/>
        </w:rPr>
      </w:pPr>
    </w:p>
    <w:p w14:paraId="7DB3D253">
      <w:pPr>
        <w:pStyle w:val="3"/>
        <w:keepNext w:val="0"/>
        <w:keepLines w:val="0"/>
        <w:pageBreakBefore w:val="0"/>
        <w:widowControl w:val="0"/>
        <w:kinsoku/>
        <w:wordWrap/>
        <w:overflowPunct/>
        <w:topLinePunct w:val="0"/>
        <w:autoSpaceDE/>
        <w:autoSpaceDN/>
        <w:bidi w:val="0"/>
        <w:adjustRightInd/>
        <w:snapToGrid w:val="0"/>
        <w:spacing w:after="0"/>
        <w:textAlignment w:val="auto"/>
        <w:rPr>
          <w:rFonts w:ascii="Times New Roman" w:hAnsi="Times New Roman" w:eastAsia="仿宋"/>
          <w:bCs/>
          <w:szCs w:val="28"/>
        </w:rPr>
      </w:pPr>
      <w:r>
        <w:rPr>
          <w:rFonts w:ascii="Times New Roman" w:hAnsi="Times New Roman" w:eastAsia="仿宋"/>
          <w:bCs/>
          <w:szCs w:val="28"/>
        </w:rPr>
        <w:t>特此公告。</w:t>
      </w:r>
    </w:p>
    <w:p w14:paraId="4B020FF6">
      <w:pPr>
        <w:pStyle w:val="3"/>
        <w:keepNext w:val="0"/>
        <w:keepLines w:val="0"/>
        <w:pageBreakBefore w:val="0"/>
        <w:widowControl w:val="0"/>
        <w:kinsoku/>
        <w:wordWrap/>
        <w:overflowPunct/>
        <w:topLinePunct w:val="0"/>
        <w:autoSpaceDE/>
        <w:autoSpaceDN/>
        <w:bidi w:val="0"/>
        <w:adjustRightInd/>
        <w:snapToGrid w:val="0"/>
        <w:spacing w:after="0"/>
        <w:textAlignment w:val="auto"/>
        <w:rPr>
          <w:rFonts w:ascii="Times New Roman" w:hAnsi="Times New Roman" w:eastAsia="仿宋"/>
          <w:bCs/>
          <w:szCs w:val="28"/>
        </w:rPr>
      </w:pPr>
    </w:p>
    <w:p w14:paraId="0EA13362">
      <w:pPr>
        <w:pStyle w:val="3"/>
        <w:keepNext w:val="0"/>
        <w:keepLines w:val="0"/>
        <w:pageBreakBefore w:val="0"/>
        <w:widowControl w:val="0"/>
        <w:kinsoku/>
        <w:wordWrap/>
        <w:overflowPunct/>
        <w:topLinePunct w:val="0"/>
        <w:autoSpaceDE/>
        <w:autoSpaceDN/>
        <w:bidi w:val="0"/>
        <w:adjustRightInd/>
        <w:snapToGrid w:val="0"/>
        <w:spacing w:after="0"/>
        <w:jc w:val="right"/>
        <w:textAlignment w:val="auto"/>
        <w:rPr>
          <w:rFonts w:ascii="Times New Roman" w:hAnsi="Times New Roman" w:eastAsia="仿宋"/>
          <w:bCs/>
          <w:szCs w:val="28"/>
        </w:rPr>
      </w:pPr>
      <w:r>
        <w:rPr>
          <w:rFonts w:ascii="Times New Roman" w:hAnsi="Times New Roman" w:eastAsia="仿宋"/>
          <w:bCs/>
          <w:szCs w:val="28"/>
        </w:rPr>
        <w:t>吉林电力股份有限公司董事会</w:t>
      </w:r>
    </w:p>
    <w:p w14:paraId="5118ADCB">
      <w:pPr>
        <w:pStyle w:val="3"/>
        <w:keepNext w:val="0"/>
        <w:keepLines w:val="0"/>
        <w:pageBreakBefore w:val="0"/>
        <w:widowControl w:val="0"/>
        <w:kinsoku/>
        <w:wordWrap/>
        <w:overflowPunct/>
        <w:topLinePunct w:val="0"/>
        <w:autoSpaceDE/>
        <w:autoSpaceDN/>
        <w:bidi w:val="0"/>
        <w:adjustRightInd/>
        <w:snapToGrid w:val="0"/>
        <w:spacing w:after="0"/>
        <w:jc w:val="center"/>
        <w:textAlignment w:val="auto"/>
        <w:rPr>
          <w:rFonts w:ascii="Times New Roman" w:hAnsi="Times New Roman" w:eastAsia="仿宋"/>
          <w:bCs/>
          <w:szCs w:val="28"/>
        </w:rPr>
      </w:pPr>
      <w:r>
        <w:rPr>
          <w:rFonts w:hint="eastAsia" w:ascii="Times New Roman" w:hAnsi="Times New Roman" w:eastAsia="仿宋"/>
          <w:bCs/>
          <w:szCs w:val="28"/>
          <w:lang w:val="en-US" w:eastAsia="zh-CN"/>
        </w:rPr>
        <w:t xml:space="preserve">                             </w:t>
      </w:r>
      <w:r>
        <w:rPr>
          <w:rFonts w:ascii="Times New Roman" w:hAnsi="Times New Roman" w:eastAsia="仿宋"/>
          <w:bCs/>
          <w:szCs w:val="28"/>
        </w:rPr>
        <w:t>二</w:t>
      </w:r>
      <w:r>
        <w:rPr>
          <w:rFonts w:hint="eastAsia" w:ascii="Times New Roman" w:hAnsi="Times New Roman" w:eastAsia="仿宋"/>
          <w:bCs/>
          <w:szCs w:val="28"/>
        </w:rPr>
        <w:t>〇</w:t>
      </w:r>
      <w:r>
        <w:rPr>
          <w:rFonts w:ascii="Times New Roman" w:hAnsi="Times New Roman" w:eastAsia="仿宋"/>
          <w:bCs/>
          <w:szCs w:val="28"/>
        </w:rPr>
        <w:t>二</w:t>
      </w:r>
      <w:r>
        <w:rPr>
          <w:rFonts w:hint="eastAsia" w:ascii="Times New Roman" w:hAnsi="Times New Roman" w:eastAsia="仿宋"/>
          <w:bCs/>
          <w:szCs w:val="28"/>
          <w:lang w:val="en-US" w:eastAsia="zh-CN"/>
        </w:rPr>
        <w:t>五</w:t>
      </w:r>
      <w:r>
        <w:rPr>
          <w:rFonts w:ascii="Times New Roman" w:hAnsi="Times New Roman" w:eastAsia="仿宋"/>
          <w:bCs/>
          <w:szCs w:val="28"/>
        </w:rPr>
        <w:t>年</w:t>
      </w:r>
      <w:r>
        <w:rPr>
          <w:rFonts w:hint="eastAsia" w:ascii="Times New Roman" w:hAnsi="Times New Roman" w:eastAsia="仿宋"/>
          <w:bCs/>
          <w:szCs w:val="28"/>
          <w:lang w:val="en-US" w:eastAsia="zh-CN"/>
        </w:rPr>
        <w:t>七</w:t>
      </w:r>
      <w:r>
        <w:rPr>
          <w:rFonts w:ascii="Times New Roman" w:hAnsi="Times New Roman" w:eastAsia="仿宋"/>
          <w:bCs/>
          <w:szCs w:val="28"/>
        </w:rPr>
        <w:t>月</w:t>
      </w:r>
      <w:r>
        <w:rPr>
          <w:rFonts w:hint="eastAsia" w:ascii="Times New Roman" w:hAnsi="Times New Roman" w:eastAsia="仿宋"/>
          <w:bCs/>
          <w:szCs w:val="28"/>
        </w:rPr>
        <w:t>二</w:t>
      </w:r>
      <w:r>
        <w:rPr>
          <w:rFonts w:ascii="Times New Roman" w:hAnsi="Times New Roman" w:eastAsia="仿宋"/>
          <w:bCs/>
          <w:szCs w:val="28"/>
        </w:rPr>
        <w:t>十</w:t>
      </w:r>
      <w:r>
        <w:rPr>
          <w:rFonts w:hint="eastAsia" w:ascii="Times New Roman" w:hAnsi="Times New Roman" w:eastAsia="仿宋"/>
          <w:bCs/>
          <w:szCs w:val="28"/>
          <w:lang w:val="en-US" w:eastAsia="zh-CN"/>
        </w:rPr>
        <w:t>七</w:t>
      </w:r>
      <w:r>
        <w:rPr>
          <w:rFonts w:ascii="Times New Roman" w:hAnsi="Times New Roman" w:eastAsia="仿宋"/>
          <w:bCs/>
          <w:szCs w:val="28"/>
        </w:rPr>
        <w:t>日</w:t>
      </w:r>
    </w:p>
    <w:sectPr>
      <w:footerReference r:id="rId3" w:type="default"/>
      <w:footerReference r:id="rId4" w:type="even"/>
      <w:pgSz w:w="11907" w:h="16840"/>
      <w:pgMar w:top="1440" w:right="1797" w:bottom="1440" w:left="1797" w:header="851" w:footer="992" w:gutter="0"/>
      <w:cols w:space="720"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8"/>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FF103D4">
    <w:pPr>
      <w:pStyle w:val="4"/>
      <w:framePr w:wrap="around" w:vAnchor="text" w:hAnchor="margin" w:xAlign="center" w:y="1"/>
      <w:rPr>
        <w:rStyle w:val="8"/>
      </w:rPr>
    </w:pPr>
    <w:r>
      <w:fldChar w:fldCharType="begin"/>
    </w:r>
    <w:r>
      <w:rPr>
        <w:rStyle w:val="8"/>
      </w:rPr>
      <w:instrText xml:space="preserve">PAGE  </w:instrText>
    </w:r>
    <w:r>
      <w:fldChar w:fldCharType="separate"/>
    </w:r>
    <w:r>
      <w:rPr>
        <w:rStyle w:val="8"/>
      </w:rPr>
      <w:t>2</w:t>
    </w:r>
    <w:r>
      <w:fldChar w:fldCharType="end"/>
    </w:r>
  </w:p>
  <w:p w14:paraId="6A79C875">
    <w:pPr>
      <w:pStyle w:val="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F008117">
    <w:pPr>
      <w:pStyle w:val="4"/>
      <w:framePr w:wrap="around" w:vAnchor="text" w:hAnchor="margin" w:xAlign="center" w:y="1"/>
      <w:rPr>
        <w:rStyle w:val="8"/>
      </w:rPr>
    </w:pPr>
    <w:r>
      <w:fldChar w:fldCharType="begin"/>
    </w:r>
    <w:r>
      <w:rPr>
        <w:rStyle w:val="8"/>
      </w:rPr>
      <w:instrText xml:space="preserve">PAGE  </w:instrText>
    </w:r>
    <w:r>
      <w:fldChar w:fldCharType="end"/>
    </w:r>
  </w:p>
  <w:p w14:paraId="1E3E4C3C">
    <w:pPr>
      <w:pStyle w:val="4"/>
    </w:pPr>
  </w:p>
</w:ftr>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