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EF326">
      <w:r>
        <w:t xml:space="preserve">证券代码：000875   </w:t>
      </w:r>
      <w:r>
        <w:rPr>
          <w:rFonts w:hint="eastAsia"/>
        </w:rPr>
        <w:t xml:space="preserve">         </w:t>
      </w:r>
      <w:r>
        <w:t>证券简称：吉电股份</w:t>
      </w:r>
      <w:r>
        <w:rPr>
          <w:rFonts w:hint="eastAsia"/>
        </w:rPr>
        <w:t xml:space="preserve">               </w:t>
      </w:r>
      <w:r>
        <w:t>公告编号：</w:t>
      </w:r>
      <w:r>
        <w:rPr>
          <w:rFonts w:ascii="Times New Roman" w:hAnsi="Times New Roman"/>
        </w:rPr>
        <w:t>202</w:t>
      </w:r>
      <w:r>
        <w:rPr>
          <w:rFonts w:hint="eastAsia" w:ascii="Times New Roman" w:hAnsi="Times New Roman"/>
        </w:rPr>
        <w:t>5</w:t>
      </w:r>
      <w:r>
        <w:rPr>
          <w:rFonts w:ascii="Times New Roman" w:hAnsi="Times New Roman"/>
        </w:rPr>
        <w:t>-0</w:t>
      </w:r>
      <w:r>
        <w:rPr>
          <w:rFonts w:hint="eastAsia" w:ascii="Times New Roman" w:hAnsi="Times New Roman"/>
        </w:rPr>
        <w:t>23</w:t>
      </w:r>
    </w:p>
    <w:p w14:paraId="00BF013A">
      <w:pP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bidi="ar"/>
        </w:rPr>
      </w:pPr>
      <w:r>
        <w:rPr>
          <w:rFonts w:ascii="Times New Roman" w:hAnsi="Times New Roman"/>
          <w:color w:val="FF66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-108585</wp:posOffset>
                </wp:positionH>
                <wp:positionV relativeFrom="paragraph">
                  <wp:posOffset>61595</wp:posOffset>
                </wp:positionV>
                <wp:extent cx="5417820" cy="22860"/>
                <wp:effectExtent l="0" t="28575" r="7620" b="40005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17820" cy="22860"/>
                        </a:xfrm>
                        <a:prstGeom prst="line">
                          <a:avLst/>
                        </a:prstGeom>
                        <a:ln w="57150" cap="flat" cmpd="thinThick">
                          <a:solidFill>
                            <a:srgbClr val="FF66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flip:y;margin-left:-8.55pt;margin-top:4.85pt;height:1.8pt;width:426.6pt;z-index:251660288;mso-width-relative:page;mso-height-relative:page;" filled="f" stroked="t" coordsize="21600,21600" o:gfxdata="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CbFABW1gAAAAgBAAAPAAAAAAAAAAEAIAAAACIAAABkcnMvZG93bnJldi54bWxQSwECFAAUAAAA&#10;CACHTuJA05lJ+fABAADkAwAADgAAAAAAAAABACAAAAAlAQAAZHJzL2Uyb0RvYy54bWxQSwUGAAAA&#10;AAYABgBZAQAAhwUAAAAA&#10;">
                <v:fill on="f" focussize="0,0"/>
                <v:stroke weight="4.5pt" color="#FF6600" linestyle="thinThick" joinstyle="round"/>
                <v:imagedata o:title=""/>
                <o:lock v:ext="edit" aspectratio="f"/>
              </v:line>
            </w:pict>
          </mc:Fallback>
        </mc:AlternateContent>
      </w:r>
    </w:p>
    <w:p w14:paraId="5C81E253">
      <w:pPr>
        <w:jc w:val="center"/>
        <w:rPr>
          <w:rFonts w:ascii="Times New Roman" w:hAnsi="Times New Roman"/>
          <w:b/>
          <w:sz w:val="44"/>
          <w:szCs w:val="44"/>
        </w:rPr>
      </w:pPr>
      <w:r>
        <w:rPr>
          <w:rFonts w:hint="eastAsia" w:ascii="Times New Roman" w:hAnsi="Times New Roman"/>
          <w:b/>
          <w:sz w:val="44"/>
          <w:szCs w:val="44"/>
        </w:rPr>
        <w:t>吉林电力股份有限公司</w:t>
      </w:r>
    </w:p>
    <w:p w14:paraId="767AF0B4">
      <w:pPr>
        <w:jc w:val="center"/>
        <w:rPr>
          <w:rFonts w:ascii="Times New Roman" w:hAnsi="Times New Roman"/>
          <w:b/>
          <w:sz w:val="44"/>
          <w:szCs w:val="44"/>
        </w:rPr>
      </w:pPr>
      <w:r>
        <w:rPr>
          <w:rFonts w:hint="eastAsia" w:ascii="Times New Roman" w:hAnsi="Times New Roman"/>
          <w:b/>
          <w:sz w:val="44"/>
          <w:szCs w:val="44"/>
        </w:rPr>
        <w:t>关于2024年度利润分配预案的公告</w:t>
      </w:r>
    </w:p>
    <w:p w14:paraId="62748CEC">
      <w:pPr>
        <w:pStyle w:val="9"/>
      </w:pPr>
    </w:p>
    <w:p w14:paraId="60CFB324">
      <w:pPr>
        <w:ind w:firstLine="562" w:firstLineChars="200"/>
        <w:rPr>
          <w:rFonts w:eastAsia="仿宋"/>
          <w:b/>
          <w:sz w:val="28"/>
          <w:szCs w:val="28"/>
        </w:rPr>
      </w:pPr>
      <w:r>
        <w:rPr>
          <w:rFonts w:hAnsi="仿宋" w:eastAsia="仿宋"/>
          <w:b/>
          <w:sz w:val="28"/>
          <w:szCs w:val="28"/>
        </w:rPr>
        <w:t>本公司及董事会全体成员保证</w:t>
      </w:r>
      <w:r>
        <w:rPr>
          <w:rFonts w:hint="eastAsia" w:hAnsi="仿宋" w:eastAsia="仿宋"/>
          <w:b/>
          <w:sz w:val="28"/>
          <w:szCs w:val="28"/>
        </w:rPr>
        <w:t>信息披露</w:t>
      </w:r>
      <w:r>
        <w:rPr>
          <w:rFonts w:hAnsi="仿宋" w:eastAsia="仿宋"/>
          <w:b/>
          <w:sz w:val="28"/>
          <w:szCs w:val="28"/>
        </w:rPr>
        <w:t>内容的真实、准确</w:t>
      </w:r>
      <w:r>
        <w:rPr>
          <w:rFonts w:hint="eastAsia" w:hAnsi="仿宋" w:eastAsia="仿宋"/>
          <w:b/>
          <w:sz w:val="28"/>
          <w:szCs w:val="28"/>
        </w:rPr>
        <w:t>和</w:t>
      </w:r>
      <w:r>
        <w:rPr>
          <w:rFonts w:hAnsi="仿宋" w:eastAsia="仿宋"/>
          <w:b/>
          <w:sz w:val="28"/>
          <w:szCs w:val="28"/>
        </w:rPr>
        <w:t>完整，没有虚假记载、误导性陈述或重大遗漏。</w:t>
      </w:r>
    </w:p>
    <w:p w14:paraId="4B59316E">
      <w:pPr>
        <w:widowControl/>
        <w:ind w:firstLine="560" w:firstLineChars="20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</w:p>
    <w:p w14:paraId="7AD704C5">
      <w:pPr>
        <w:widowControl/>
        <w:spacing w:line="600" w:lineRule="exact"/>
        <w:ind w:firstLine="562" w:firstLineChars="200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bidi="ar"/>
        </w:rPr>
        <w:t>一、审议程序</w:t>
      </w:r>
    </w:p>
    <w:p w14:paraId="58DC51ED">
      <w:pPr>
        <w:widowControl/>
        <w:spacing w:line="600" w:lineRule="exact"/>
        <w:ind w:firstLine="562" w:firstLineChars="200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bidi="ar"/>
        </w:rPr>
        <w:t>1.董事会审议情况</w:t>
      </w:r>
    </w:p>
    <w:p w14:paraId="53C51865">
      <w:pPr>
        <w:spacing w:line="600" w:lineRule="exact"/>
        <w:ind w:firstLine="560" w:firstLineChars="200"/>
        <w:rPr>
          <w:rFonts w:hint="eastAsia" w:ascii="Times New Roman" w:hAnsi="Times New Roman" w:eastAsia="仿宋" w:cs="宋体"/>
          <w:sz w:val="28"/>
          <w:szCs w:val="28"/>
        </w:rPr>
      </w:pPr>
      <w:r>
        <w:rPr>
          <w:rFonts w:hint="eastAsia" w:ascii="Times New Roman" w:hAnsi="Times New Roman" w:eastAsia="仿宋" w:cs="宋体"/>
          <w:sz w:val="28"/>
          <w:szCs w:val="28"/>
        </w:rPr>
        <w:t>吉林电力股份有限公司（以下简称“公司”）于2025年4月25日召开了第九届董事会第三十一次会议，审议通过了《公司2024年度利润分配预案》。本议案尚需提交公司2024年度股东会审议批准。</w:t>
      </w:r>
    </w:p>
    <w:p w14:paraId="48EDB4C8">
      <w:pPr>
        <w:widowControl/>
        <w:spacing w:line="600" w:lineRule="exact"/>
        <w:ind w:firstLine="562" w:firstLineChars="200"/>
        <w:jc w:val="left"/>
        <w:rPr>
          <w:rFonts w:hint="eastAsia" w:ascii="Times New Roman" w:hAnsi="Times New Roman" w:eastAsia="仿宋" w:cs="宋体"/>
          <w:b/>
          <w:bCs/>
          <w:sz w:val="28"/>
          <w:szCs w:val="28"/>
        </w:rPr>
      </w:pPr>
      <w:r>
        <w:rPr>
          <w:rFonts w:hint="eastAsia" w:ascii="Times New Roman" w:hAnsi="Times New Roman" w:eastAsia="仿宋" w:cs="宋体"/>
          <w:b/>
          <w:bCs/>
          <w:sz w:val="28"/>
          <w:szCs w:val="28"/>
        </w:rPr>
        <w:t xml:space="preserve">2. 监事会审议情况及意见 </w:t>
      </w:r>
    </w:p>
    <w:p w14:paraId="13F898A4">
      <w:pPr>
        <w:spacing w:line="600" w:lineRule="exact"/>
        <w:ind w:firstLine="560" w:firstLineChars="200"/>
        <w:rPr>
          <w:rFonts w:hint="eastAsia" w:ascii="Times New Roman" w:hAnsi="Times New Roman" w:eastAsia="仿宋" w:cs="宋体"/>
          <w:sz w:val="28"/>
          <w:szCs w:val="28"/>
        </w:rPr>
      </w:pPr>
      <w:r>
        <w:rPr>
          <w:rFonts w:hint="eastAsia" w:ascii="Times New Roman" w:hAnsi="Times New Roman" w:eastAsia="仿宋" w:cs="宋体"/>
          <w:sz w:val="28"/>
          <w:szCs w:val="28"/>
        </w:rPr>
        <w:t xml:space="preserve">公司于2025年4月25日召开了第九届监事会第二十次会议，审议通过了《公司2024年度利润分配预案》。公司监事会认为：董事会提出的 2024年度利润分配预案综合考虑了 2024年度的盈利水平和整体财务状况，兼顾了股东的即期利益和长远利益，体现了公司积极回报股东、与全体股东分享公司成长的经营成果的原则。符合公司现状和当前运作的实际，也符合《公司法》《企业会计准则》《深圳证券交易所上市公司自律监管指引第 1 号——主板上市公司规范运作》《公司章程》等相关规定，不存在损害公司股东尤其是中小股东利益的情形。 </w:t>
      </w:r>
    </w:p>
    <w:p w14:paraId="0F095DB8">
      <w:pPr>
        <w:widowControl/>
        <w:spacing w:line="600" w:lineRule="exact"/>
        <w:ind w:firstLine="562" w:firstLineChars="200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bidi="ar"/>
        </w:rPr>
        <w:t>3.独立董事专门会议审查意见</w:t>
      </w:r>
    </w:p>
    <w:p w14:paraId="32522973">
      <w:pPr>
        <w:spacing w:line="600" w:lineRule="exact"/>
        <w:ind w:firstLine="560" w:firstLineChars="200"/>
        <w:rPr>
          <w:rFonts w:hint="eastAsia" w:ascii="Times New Roman" w:hAnsi="Times New Roman" w:eastAsia="仿宋" w:cs="宋体"/>
          <w:sz w:val="28"/>
          <w:szCs w:val="28"/>
        </w:rPr>
      </w:pPr>
      <w:r>
        <w:rPr>
          <w:rFonts w:hint="eastAsia" w:ascii="Times New Roman" w:hAnsi="Times New Roman" w:eastAsia="仿宋" w:cs="宋体"/>
          <w:sz w:val="28"/>
          <w:szCs w:val="28"/>
        </w:rPr>
        <w:t>经审查，公司2024年度利润分配预案符合《公司法》、中国证监会《关于进一步落实上市公司现金分红有关事项的通知》《上市公司监管指引第3号——上市公司现金分红（2023年修订）》等法律法规以及公司《章程》等有关规定，符合公司《未来三年（2023—2025年）股东回报规划》及公司实际情况，不存在损害公司及股东利益的情况。</w:t>
      </w:r>
    </w:p>
    <w:p w14:paraId="4C39F192">
      <w:pPr>
        <w:widowControl/>
        <w:spacing w:line="600" w:lineRule="exact"/>
        <w:ind w:firstLine="562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bidi="ar"/>
        </w:rPr>
        <w:t xml:space="preserve">二、利润分配预案的基本情况 </w:t>
      </w:r>
    </w:p>
    <w:p w14:paraId="2E82EB5F">
      <w:pPr>
        <w:spacing w:line="600" w:lineRule="exact"/>
        <w:ind w:firstLine="560" w:firstLineChars="200"/>
        <w:rPr>
          <w:rFonts w:hint="eastAsia" w:ascii="Times New Roman" w:hAnsi="Times New Roman" w:eastAsia="仿宋" w:cs="宋体"/>
          <w:sz w:val="28"/>
          <w:szCs w:val="28"/>
          <w:highlight w:val="yellow"/>
          <w:lang w:val="en-US" w:eastAsia="zh-CN"/>
        </w:rPr>
      </w:pPr>
      <w:r>
        <w:rPr>
          <w:rFonts w:hint="eastAsia" w:ascii="Times New Roman" w:hAnsi="Times New Roman" w:eastAsia="仿宋" w:cs="宋体"/>
          <w:sz w:val="28"/>
          <w:szCs w:val="28"/>
        </w:rPr>
        <w:t>根据天健会计师事务所（特殊普通合伙）对公司2024年度财务报表的审计结果，公司2024年度归属于母公司所有者的净利润为1,099,239,157.13元，合并口径净利润1,687,059,000.42元，母公司实现净利润697,162,355.87元。截至2024年12月31日，公司合并报表可供分配利润为2,539,210,152.78元，母公司报表可供分配利润为356,850,238.51元</w:t>
      </w:r>
      <w:r>
        <w:rPr>
          <w:rFonts w:hint="eastAsia" w:ascii="Times New Roman" w:hAnsi="Times New Roman" w:eastAsia="仿宋" w:cs="宋体"/>
          <w:sz w:val="28"/>
          <w:szCs w:val="28"/>
          <w:highlight w:val="none"/>
        </w:rPr>
        <w:t>。公司2024年度提取法定盈余公积金69</w:t>
      </w:r>
      <w:r>
        <w:rPr>
          <w:rFonts w:hint="eastAsia" w:ascii="Times New Roman" w:hAnsi="Times New Roman" w:eastAsia="仿宋" w:cs="宋体"/>
          <w:sz w:val="28"/>
          <w:szCs w:val="28"/>
          <w:highlight w:val="none"/>
          <w:lang w:val="en-US" w:eastAsia="zh-CN"/>
        </w:rPr>
        <w:t>,</w:t>
      </w:r>
      <w:r>
        <w:rPr>
          <w:rFonts w:hint="eastAsia" w:ascii="Times New Roman" w:hAnsi="Times New Roman" w:eastAsia="仿宋" w:cs="宋体"/>
          <w:sz w:val="28"/>
          <w:szCs w:val="28"/>
          <w:highlight w:val="none"/>
        </w:rPr>
        <w:t>716</w:t>
      </w:r>
      <w:r>
        <w:rPr>
          <w:rFonts w:hint="eastAsia" w:ascii="Times New Roman" w:hAnsi="Times New Roman" w:eastAsia="仿宋" w:cs="宋体"/>
          <w:sz w:val="28"/>
          <w:szCs w:val="28"/>
          <w:highlight w:val="none"/>
          <w:lang w:val="en-US" w:eastAsia="zh-CN"/>
        </w:rPr>
        <w:t>,</w:t>
      </w:r>
      <w:r>
        <w:rPr>
          <w:rFonts w:hint="eastAsia" w:ascii="Times New Roman" w:hAnsi="Times New Roman" w:eastAsia="仿宋" w:cs="宋体"/>
          <w:sz w:val="28"/>
          <w:szCs w:val="28"/>
          <w:highlight w:val="none"/>
        </w:rPr>
        <w:t>235.59元。</w:t>
      </w:r>
      <w:bookmarkStart w:id="0" w:name="_GoBack"/>
      <w:bookmarkEnd w:id="0"/>
    </w:p>
    <w:p w14:paraId="7C93B50B">
      <w:pPr>
        <w:spacing w:line="600" w:lineRule="exact"/>
        <w:ind w:firstLine="560" w:firstLineChars="200"/>
        <w:rPr>
          <w:rFonts w:hint="eastAsia" w:ascii="Times New Roman" w:hAnsi="Times New Roman" w:eastAsia="仿宋" w:cs="宋体"/>
          <w:sz w:val="28"/>
          <w:szCs w:val="28"/>
        </w:rPr>
      </w:pPr>
      <w:r>
        <w:rPr>
          <w:rFonts w:hint="eastAsia" w:ascii="Times New Roman" w:hAnsi="Times New Roman" w:eastAsia="仿宋" w:cs="宋体"/>
          <w:sz w:val="28"/>
          <w:szCs w:val="28"/>
        </w:rPr>
        <w:t>综合考虑公司持续经营能力、生产经营发展资金需求，以及2024年中期已分配利润情况，提出公司2024年度分红预案：以公司截至2024年12月31日的总股本3,627,270,626股为分配基数，向全体股东每10股派发现金红利0.16元（含税），不送红股，不以资本公积金转增股本，合计派发现金股利58,036,330.02元。在利润分配预案披露日至实施权益分派股权登记日期间，公司总股本若发生变动的，公司将按照分派总额不变的原则调整分配比例。</w:t>
      </w:r>
    </w:p>
    <w:p w14:paraId="139E02DE">
      <w:pPr>
        <w:spacing w:line="600" w:lineRule="exact"/>
        <w:ind w:firstLine="560" w:firstLineChars="200"/>
        <w:rPr>
          <w:rFonts w:hint="eastAsia" w:ascii="Times New Roman" w:hAnsi="Times New Roman" w:eastAsia="仿宋" w:cs="宋体"/>
          <w:sz w:val="28"/>
          <w:szCs w:val="28"/>
        </w:rPr>
      </w:pPr>
      <w:r>
        <w:rPr>
          <w:rFonts w:hint="eastAsia" w:ascii="Times New Roman" w:hAnsi="Times New Roman" w:eastAsia="仿宋" w:cs="宋体"/>
          <w:sz w:val="28"/>
          <w:szCs w:val="28"/>
        </w:rPr>
        <w:t>2024年半年度，公司已向全体股东每10股派发现金红利1.17元（含税），共计分配现金股利326,454,356.33元。2024年度全年分红预计384,490,686.35 元，分红率34.98%。本次分红符合《公司章程》规定的利润分配政策，符合公司《未来三年（2023—2025年）股东回报规划》的有关内容。截至报告期末公司货币资金充足，本次现金分红不会造成公司流动资金短缺，不会影响公司正常生产经营。公司的现金分红水平与所处行业上市公司平均水平不存在重大差异。</w:t>
      </w:r>
    </w:p>
    <w:p w14:paraId="481692F3">
      <w:pPr>
        <w:widowControl/>
        <w:spacing w:line="600" w:lineRule="exact"/>
        <w:ind w:firstLine="562" w:firstLineChars="200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bidi="ar"/>
        </w:rPr>
        <w:t>三、现金分红方案的具体情况</w:t>
      </w:r>
    </w:p>
    <w:p w14:paraId="731AC952">
      <w:pPr>
        <w:widowControl/>
        <w:numPr>
          <w:ilvl w:val="0"/>
          <w:numId w:val="1"/>
        </w:numPr>
        <w:spacing w:line="600" w:lineRule="exact"/>
        <w:ind w:firstLine="560" w:firstLineChars="20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公司不存在可能触及其他风险警示情形</w:t>
      </w:r>
    </w:p>
    <w:p w14:paraId="3DE003EE">
      <w:pPr>
        <w:widowControl/>
        <w:spacing w:line="600" w:lineRule="exact"/>
        <w:jc w:val="right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单位：元</w:t>
      </w:r>
    </w:p>
    <w:tbl>
      <w:tblPr>
        <w:tblStyle w:val="10"/>
        <w:tblW w:w="86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6"/>
        <w:gridCol w:w="2269"/>
        <w:gridCol w:w="1960"/>
        <w:gridCol w:w="1960"/>
      </w:tblGrid>
      <w:tr w14:paraId="358D1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4D02E5"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项目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EEBE23"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本年度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202409"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上年度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2144ABD"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上上年度</w:t>
            </w:r>
          </w:p>
        </w:tc>
      </w:tr>
      <w:tr w14:paraId="6F15E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9B72CE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现金分红总额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5FB30E"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384,490,686.35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439860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306,922,899.14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8048F3D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0</w:t>
            </w:r>
          </w:p>
        </w:tc>
      </w:tr>
      <w:tr w14:paraId="03906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A0DBEA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回购注销总额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C1431F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219522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1D95C5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0</w:t>
            </w:r>
          </w:p>
        </w:tc>
      </w:tr>
      <w:tr w14:paraId="7D1A2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5B0029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归属于上市公司股东的净利润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B6CD65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1,099,239,157.13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605BC1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908,417,734.74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6B916A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674,617,035.72</w:t>
            </w:r>
          </w:p>
        </w:tc>
      </w:tr>
      <w:tr w14:paraId="0786F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4A7033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合并报表本年度末累计未分配利润</w:t>
            </w:r>
          </w:p>
        </w:tc>
        <w:tc>
          <w:tcPr>
            <w:tcW w:w="6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A54C68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2,539,210,152.78</w:t>
            </w:r>
          </w:p>
        </w:tc>
      </w:tr>
      <w:tr w14:paraId="6BB0F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B6CEB5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公司报表本年度末累计未分配利润</w:t>
            </w:r>
          </w:p>
        </w:tc>
        <w:tc>
          <w:tcPr>
            <w:tcW w:w="6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97A6DE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356,850,238.51</w:t>
            </w:r>
          </w:p>
        </w:tc>
      </w:tr>
      <w:tr w14:paraId="659AD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13F7D5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上市是否满三个完整会计年度</w:t>
            </w:r>
          </w:p>
        </w:tc>
        <w:tc>
          <w:tcPr>
            <w:tcW w:w="6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14B3C0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是</w:t>
            </w:r>
          </w:p>
        </w:tc>
      </w:tr>
      <w:tr w14:paraId="68CE2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B1D891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最近三个会计年度累计现金分红总额</w:t>
            </w:r>
          </w:p>
        </w:tc>
        <w:tc>
          <w:tcPr>
            <w:tcW w:w="6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3D5458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691,413,585.49 </w:t>
            </w:r>
          </w:p>
        </w:tc>
      </w:tr>
      <w:tr w14:paraId="1ED39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46184E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最近三个会计年度累计回购注销总额</w:t>
            </w:r>
          </w:p>
        </w:tc>
        <w:tc>
          <w:tcPr>
            <w:tcW w:w="6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4655AF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0</w:t>
            </w:r>
          </w:p>
        </w:tc>
      </w:tr>
      <w:tr w14:paraId="637F4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1B712A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最近三个会计年度平均净利润</w:t>
            </w:r>
          </w:p>
        </w:tc>
        <w:tc>
          <w:tcPr>
            <w:tcW w:w="6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9CBB3B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894,091,309.20</w:t>
            </w:r>
          </w:p>
        </w:tc>
      </w:tr>
      <w:tr w14:paraId="6D949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7D829D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最近三个会计年度累计现金分红及回购注销总额</w:t>
            </w:r>
          </w:p>
        </w:tc>
        <w:tc>
          <w:tcPr>
            <w:tcW w:w="6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A42FE5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691,413,585.49 </w:t>
            </w:r>
          </w:p>
        </w:tc>
      </w:tr>
      <w:tr w14:paraId="47630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330D4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是否触及《股票上市规则》第9.8.1条第（九）项规定的可能被实施其他风险警示情形</w:t>
            </w:r>
          </w:p>
        </w:tc>
        <w:tc>
          <w:tcPr>
            <w:tcW w:w="6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30A7A7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否</w:t>
            </w:r>
          </w:p>
        </w:tc>
      </w:tr>
    </w:tbl>
    <w:p w14:paraId="2E264BF1">
      <w:pPr>
        <w:widowControl/>
        <w:spacing w:line="600" w:lineRule="exact"/>
        <w:ind w:firstLine="560" w:firstLineChars="20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（二）不触及其他风险警示情形的具体原因</w:t>
      </w:r>
    </w:p>
    <w:p w14:paraId="74111FAF">
      <w:pPr>
        <w:spacing w:line="600" w:lineRule="exact"/>
        <w:ind w:firstLine="560" w:firstLineChars="200"/>
        <w:rPr>
          <w:rFonts w:hint="eastAsia" w:ascii="Times New Roman" w:hAnsi="Times New Roman" w:eastAsia="仿宋" w:cs="宋体"/>
          <w:sz w:val="28"/>
          <w:szCs w:val="28"/>
        </w:rPr>
      </w:pPr>
      <w:r>
        <w:rPr>
          <w:rFonts w:hint="eastAsia" w:ascii="Times New Roman" w:hAnsi="Times New Roman" w:eastAsia="仿宋" w:cs="宋体"/>
          <w:sz w:val="28"/>
          <w:szCs w:val="28"/>
        </w:rPr>
        <w:t>公司2024年度拟派发现金分红总额为384,490,686.35元，2022-2024年度累计现金分红金额为 691,413,585.49 元，占2022-2024年度年均净利润的77.33%，公司不触及《深圳证券交易所股票上市规则》9.8.1（九）规定的可能被实施其他风险警示情形。</w:t>
      </w:r>
    </w:p>
    <w:p w14:paraId="79C15C17">
      <w:pPr>
        <w:spacing w:line="600" w:lineRule="exact"/>
        <w:ind w:firstLine="560" w:firstLineChars="200"/>
        <w:rPr>
          <w:rFonts w:hint="eastAsia" w:ascii="Times New Roman" w:hAnsi="Times New Roman" w:eastAsia="仿宋" w:cs="宋体"/>
          <w:sz w:val="28"/>
          <w:szCs w:val="28"/>
        </w:rPr>
      </w:pPr>
      <w:r>
        <w:rPr>
          <w:rFonts w:hint="eastAsia" w:ascii="Times New Roman" w:hAnsi="Times New Roman" w:eastAsia="仿宋" w:cs="宋体"/>
          <w:sz w:val="28"/>
          <w:szCs w:val="28"/>
        </w:rPr>
        <w:t>（三）现金分红方案合理性说明</w:t>
      </w:r>
    </w:p>
    <w:p w14:paraId="7DDE7D15">
      <w:pPr>
        <w:spacing w:line="600" w:lineRule="exact"/>
        <w:ind w:firstLine="560" w:firstLineChars="200"/>
        <w:rPr>
          <w:rFonts w:hint="eastAsia" w:ascii="Times New Roman" w:hAnsi="Times New Roman" w:eastAsia="仿宋" w:cs="宋体"/>
          <w:sz w:val="28"/>
          <w:szCs w:val="28"/>
        </w:rPr>
      </w:pPr>
      <w:r>
        <w:rPr>
          <w:rFonts w:hint="eastAsia" w:ascii="Times New Roman" w:hAnsi="Times New Roman" w:eastAsia="仿宋" w:cs="宋体"/>
          <w:sz w:val="28"/>
          <w:szCs w:val="28"/>
        </w:rPr>
        <w:t>本年度现金分红方案充分考虑公司所处行业特点、发展阶段、自身经营模式、盈利水平、偿债能力等因素，兼顾公司持续发展的部分资金需求与股东综合回报。该方案符合相关法律法规及公司《章程》的规定，具备合法性、合规性、合理性。留存未分配利润将用于满足公司持续发展的部分资金需求，也为以后年度保持稳定的分红水平打好基础。</w:t>
      </w:r>
    </w:p>
    <w:p w14:paraId="6A998231">
      <w:pPr>
        <w:spacing w:line="600" w:lineRule="exact"/>
        <w:ind w:firstLine="560" w:firstLineChars="200"/>
        <w:rPr>
          <w:rFonts w:hint="eastAsia" w:ascii="Times New Roman" w:hAnsi="Times New Roman" w:eastAsia="仿宋" w:cs="宋体"/>
          <w:sz w:val="28"/>
          <w:szCs w:val="28"/>
        </w:rPr>
      </w:pPr>
      <w:r>
        <w:rPr>
          <w:rFonts w:hint="eastAsia" w:ascii="Times New Roman" w:hAnsi="Times New Roman" w:eastAsia="仿宋" w:cs="宋体"/>
          <w:sz w:val="28"/>
          <w:szCs w:val="28"/>
        </w:rPr>
        <w:t>公司2023年度及2024年度经审计的交易性金融资产、衍生金融资产（套期保值工具除外）、债权投资、其他债权投资、其他权益工具投资、其他非流动金融资产、其他流动资产（待抵扣增值税、预缴税费、合同取得成本等与经营活动相关的资产除外）等财务报表项目核算及列报合计金额分别为人民币3.36亿元、人民币3.37亿元，其分别占总资产的比例为0.44%、0.41%。</w:t>
      </w:r>
    </w:p>
    <w:p w14:paraId="1D418C61">
      <w:pPr>
        <w:spacing w:line="600" w:lineRule="exact"/>
        <w:ind w:firstLine="562" w:firstLineChars="200"/>
        <w:rPr>
          <w:rFonts w:hint="eastAsia" w:ascii="Times New Roman" w:hAnsi="Times New Roman" w:eastAsia="仿宋" w:cs="宋体"/>
          <w:b/>
          <w:bCs/>
          <w:sz w:val="28"/>
          <w:szCs w:val="28"/>
        </w:rPr>
      </w:pPr>
      <w:r>
        <w:rPr>
          <w:rFonts w:hint="eastAsia" w:ascii="Times New Roman" w:hAnsi="Times New Roman" w:eastAsia="仿宋" w:cs="宋体"/>
          <w:b/>
          <w:bCs/>
          <w:sz w:val="28"/>
          <w:szCs w:val="28"/>
        </w:rPr>
        <w:t xml:space="preserve">四、备查文件 </w:t>
      </w:r>
    </w:p>
    <w:p w14:paraId="1E15F987">
      <w:pPr>
        <w:spacing w:line="600" w:lineRule="exact"/>
        <w:ind w:firstLine="560" w:firstLineChars="200"/>
        <w:rPr>
          <w:rFonts w:hint="eastAsia" w:ascii="Times New Roman" w:hAnsi="Times New Roman" w:eastAsia="仿宋" w:cs="宋体"/>
          <w:sz w:val="28"/>
          <w:szCs w:val="28"/>
        </w:rPr>
      </w:pPr>
      <w:r>
        <w:rPr>
          <w:rFonts w:hint="eastAsia" w:ascii="Times New Roman" w:hAnsi="Times New Roman" w:eastAsia="仿宋" w:cs="宋体"/>
          <w:sz w:val="28"/>
          <w:szCs w:val="28"/>
        </w:rPr>
        <w:t xml:space="preserve">1、公司第九届董事会第三十一次会议决议； </w:t>
      </w:r>
    </w:p>
    <w:p w14:paraId="2EB0D2ED">
      <w:pPr>
        <w:spacing w:line="600" w:lineRule="exact"/>
        <w:ind w:firstLine="560" w:firstLineChars="200"/>
        <w:rPr>
          <w:rFonts w:hint="eastAsia" w:ascii="Times New Roman" w:hAnsi="Times New Roman" w:eastAsia="仿宋" w:cs="宋体"/>
          <w:sz w:val="28"/>
          <w:szCs w:val="28"/>
        </w:rPr>
      </w:pPr>
      <w:r>
        <w:rPr>
          <w:rFonts w:hint="eastAsia" w:ascii="Times New Roman" w:hAnsi="Times New Roman" w:eastAsia="仿宋" w:cs="宋体"/>
          <w:sz w:val="28"/>
          <w:szCs w:val="28"/>
        </w:rPr>
        <w:t xml:space="preserve">2、公司第九届监事会第二十次会议决议； </w:t>
      </w:r>
    </w:p>
    <w:p w14:paraId="0D25025E">
      <w:pPr>
        <w:spacing w:line="600" w:lineRule="exact"/>
        <w:ind w:firstLine="560" w:firstLineChars="200"/>
        <w:rPr>
          <w:rFonts w:hint="eastAsia" w:ascii="Times New Roman" w:hAnsi="Times New Roman" w:eastAsia="仿宋" w:cs="宋体"/>
          <w:sz w:val="28"/>
          <w:szCs w:val="28"/>
        </w:rPr>
      </w:pPr>
      <w:r>
        <w:rPr>
          <w:rFonts w:hint="eastAsia" w:ascii="Times New Roman" w:hAnsi="Times New Roman" w:eastAsia="仿宋" w:cs="宋体"/>
          <w:sz w:val="28"/>
          <w:szCs w:val="28"/>
        </w:rPr>
        <w:t xml:space="preserve">3、2025年第二次独立董事专门会议审查意见。 </w:t>
      </w:r>
    </w:p>
    <w:p w14:paraId="5B1EF1BD">
      <w:pPr>
        <w:spacing w:line="600" w:lineRule="exact"/>
        <w:ind w:firstLine="560" w:firstLineChars="200"/>
        <w:rPr>
          <w:rFonts w:hint="eastAsia" w:ascii="Times New Roman" w:hAnsi="Times New Roman" w:eastAsia="仿宋" w:cs="宋体"/>
          <w:sz w:val="28"/>
          <w:szCs w:val="28"/>
        </w:rPr>
      </w:pPr>
    </w:p>
    <w:p w14:paraId="6DBC2863">
      <w:pPr>
        <w:spacing w:line="600" w:lineRule="exact"/>
        <w:ind w:firstLine="560" w:firstLineChars="200"/>
        <w:rPr>
          <w:rFonts w:hint="eastAsia" w:ascii="Times New Roman" w:hAnsi="Times New Roman" w:eastAsia="仿宋" w:cs="宋体"/>
          <w:sz w:val="28"/>
          <w:szCs w:val="28"/>
        </w:rPr>
      </w:pPr>
      <w:r>
        <w:rPr>
          <w:rFonts w:hint="eastAsia" w:ascii="Times New Roman" w:hAnsi="Times New Roman" w:eastAsia="仿宋" w:cs="宋体"/>
          <w:sz w:val="28"/>
          <w:szCs w:val="28"/>
        </w:rPr>
        <w:t xml:space="preserve">特此公告。 </w:t>
      </w:r>
    </w:p>
    <w:p w14:paraId="0706525A">
      <w:pPr>
        <w:spacing w:line="600" w:lineRule="exact"/>
        <w:ind w:firstLine="4620" w:firstLineChars="1650"/>
        <w:rPr>
          <w:rFonts w:eastAsia="仿宋"/>
          <w:sz w:val="28"/>
          <w:szCs w:val="28"/>
        </w:rPr>
      </w:pPr>
    </w:p>
    <w:p w14:paraId="70236FE3">
      <w:pPr>
        <w:spacing w:line="600" w:lineRule="exact"/>
        <w:ind w:firstLine="4620" w:firstLineChars="165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吉林电力股份有限公司董事会</w:t>
      </w:r>
    </w:p>
    <w:p w14:paraId="653DDA41">
      <w:pPr>
        <w:spacing w:line="600" w:lineRule="exact"/>
        <w:ind w:firstLine="560" w:firstLineChars="20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 xml:space="preserve">                               二</w:t>
      </w:r>
      <w:r>
        <w:rPr>
          <w:rFonts w:hint="eastAsia" w:ascii="仿宋" w:hAnsi="仿宋" w:eastAsia="仿宋" w:cs="仿宋"/>
          <w:sz w:val="28"/>
          <w:szCs w:val="28"/>
        </w:rPr>
        <w:t>○</w:t>
      </w:r>
      <w:r>
        <w:rPr>
          <w:rFonts w:eastAsia="仿宋"/>
          <w:sz w:val="28"/>
          <w:szCs w:val="28"/>
        </w:rPr>
        <w:t>二</w:t>
      </w:r>
      <w:r>
        <w:rPr>
          <w:rFonts w:hint="eastAsia" w:eastAsia="仿宋"/>
          <w:sz w:val="28"/>
          <w:szCs w:val="28"/>
        </w:rPr>
        <w:t>五</w:t>
      </w:r>
      <w:r>
        <w:rPr>
          <w:rFonts w:eastAsia="仿宋"/>
          <w:sz w:val="28"/>
          <w:szCs w:val="28"/>
        </w:rPr>
        <w:t>年</w:t>
      </w:r>
      <w:r>
        <w:rPr>
          <w:rFonts w:hint="eastAsia" w:eastAsia="仿宋"/>
          <w:sz w:val="28"/>
          <w:szCs w:val="28"/>
        </w:rPr>
        <w:t>四</w:t>
      </w:r>
      <w:r>
        <w:rPr>
          <w:rFonts w:eastAsia="仿宋"/>
          <w:sz w:val="28"/>
          <w:szCs w:val="28"/>
        </w:rPr>
        <w:t>月二十</w:t>
      </w:r>
      <w:r>
        <w:rPr>
          <w:rFonts w:hint="eastAsia" w:eastAsia="仿宋"/>
          <w:sz w:val="28"/>
          <w:szCs w:val="28"/>
        </w:rPr>
        <w:t>五</w:t>
      </w:r>
      <w:r>
        <w:rPr>
          <w:rFonts w:eastAsia="仿宋"/>
          <w:sz w:val="28"/>
          <w:szCs w:val="28"/>
        </w:rPr>
        <w:t>日</w:t>
      </w:r>
    </w:p>
    <w:p w14:paraId="6A764ECD">
      <w:pPr>
        <w:rPr>
          <w:rFonts w:hint="eastAsia" w:ascii="仿宋" w:hAnsi="仿宋" w:eastAsia="仿宋" w:cs="仿宋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64B6C2"/>
    <w:multiLevelType w:val="singleLevel"/>
    <w:tmpl w:val="7E64B6C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