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0" w:after="1000" w:line="560" w:lineRule="exact"/>
        <w:jc w:val="center"/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r>
        <w:rPr>
          <w:rFonts w:ascii="宋体" w:hAnsi="宋体" w:eastAsia="宋体" w:cs="宋体"/>
          <w:sz w:val="18"/>
          <w:szCs w:val="18"/>
        </w:rPr>
        <w:t>证券代码：000875                证券简称：吉电股份                公告编号：2025—06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2</w:t>
      </w:r>
    </w:p>
    <w:p>
      <w:pPr>
        <w:spacing w:before="0" w:after="1000" w:line="400" w:lineRule="exact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吉林电力股份有限公司2025年半年度报告摘要</w:t>
      </w:r>
    </w:p>
    <w:p>
      <w:r>
        <w:br w:type="page"/>
      </w:r>
    </w:p>
    <w:p>
      <w:pPr>
        <w:keepNext/>
        <w:keepLines/>
        <w:spacing w:before="300" w:after="300" w:line="320" w:lineRule="exact"/>
        <w:jc w:val="left"/>
        <w:outlineLvl w:val="1"/>
        <w:rPr>
          <w:rFonts w:ascii="宋体" w:hAnsi="宋体" w:eastAsia="宋体" w:cs="宋体"/>
          <w:b/>
          <w:bCs/>
          <w:sz w:val="24"/>
          <w:szCs w:val="24"/>
        </w:rPr>
      </w:pPr>
      <w:bookmarkStart w:id="0" w:name="_Toc988889"/>
      <w:r>
        <w:rPr>
          <w:rFonts w:ascii="宋体" w:hAnsi="宋体" w:eastAsia="宋体" w:cs="宋体"/>
          <w:b/>
          <w:bCs/>
          <w:sz w:val="24"/>
          <w:szCs w:val="24"/>
        </w:rPr>
        <w:t>一、重要提示</w:t>
      </w:r>
      <w:bookmarkEnd w:id="0"/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本半年度报告摘要来自半年度报告全文，为全面了解本公司的经营成果、财务状况及未来发展规划，投资者应当到证监会指定媒体仔细阅读半年度报告全文。</w:t>
      </w:r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所有董事均已出席了审议本报告的董事会会议。</w:t>
      </w:r>
    </w:p>
    <w:p>
      <w:pPr>
        <w:spacing w:before="100" w:after="10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非标准审计意见提示</w:t>
      </w:r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□适用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不适用</w:t>
      </w:r>
    </w:p>
    <w:p>
      <w:pPr>
        <w:spacing w:before="10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董事会审议的报告期利润分配预案或公积金转增股本预案</w:t>
      </w:r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适用 □不适用</w:t>
      </w:r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是否以公积金转增股本</w:t>
      </w:r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□是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否</w:t>
      </w:r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公司经本次董事会审议通过的利润分配预案为：以3,627,270,626股为基数，向全体股东每10股派发现金红利0.2元（含税），送红股0股（含税），不以公积金转增股本。</w:t>
      </w:r>
    </w:p>
    <w:p>
      <w:pPr>
        <w:spacing w:before="100" w:after="10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董事会决议通过的本报告期优先股利润分配预案</w:t>
      </w:r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□适用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不适用</w:t>
      </w:r>
    </w:p>
    <w:p>
      <w:pPr>
        <w:keepNext/>
        <w:keepLines/>
        <w:spacing w:before="300" w:after="300" w:line="320" w:lineRule="exact"/>
        <w:jc w:val="left"/>
        <w:outlineLvl w:val="1"/>
        <w:rPr>
          <w:rFonts w:ascii="宋体" w:hAnsi="宋体" w:eastAsia="宋体" w:cs="宋体"/>
          <w:b/>
          <w:bCs/>
          <w:sz w:val="24"/>
          <w:szCs w:val="24"/>
        </w:rPr>
      </w:pPr>
      <w:bookmarkStart w:id="1" w:name="_Toc988890"/>
      <w:r>
        <w:rPr>
          <w:rFonts w:ascii="宋体" w:hAnsi="宋体" w:eastAsia="宋体" w:cs="宋体"/>
          <w:b/>
          <w:bCs/>
          <w:sz w:val="24"/>
          <w:szCs w:val="24"/>
        </w:rPr>
        <w:t>二、公司基本情况</w:t>
      </w:r>
      <w:bookmarkEnd w:id="1"/>
    </w:p>
    <w:p>
      <w:pPr>
        <w:keepNext/>
        <w:keepLines/>
        <w:spacing w:before="300" w:after="300" w:line="280" w:lineRule="exact"/>
        <w:jc w:val="left"/>
        <w:outlineLvl w:val="2"/>
        <w:rPr>
          <w:rFonts w:ascii="宋体" w:hAnsi="宋体" w:eastAsia="宋体" w:cs="宋体"/>
          <w:b/>
          <w:bCs/>
          <w:sz w:val="21"/>
          <w:szCs w:val="21"/>
        </w:rPr>
      </w:pPr>
      <w:bookmarkStart w:id="2" w:name="_Toc988891"/>
      <w:r>
        <w:rPr>
          <w:rFonts w:ascii="宋体" w:hAnsi="宋体" w:eastAsia="宋体" w:cs="宋体"/>
          <w:b/>
          <w:bCs/>
          <w:sz w:val="21"/>
          <w:szCs w:val="21"/>
        </w:rPr>
        <w:t>1、公司简介</w:t>
      </w:r>
      <w:bookmarkEnd w:id="2"/>
    </w:p>
    <w:tbl>
      <w:tblPr>
        <w:tblStyle w:val="3"/>
        <w:tblW w:w="9639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3"/>
        <w:gridCol w:w="2142"/>
        <w:gridCol w:w="1071"/>
        <w:gridCol w:w="1071"/>
        <w:gridCol w:w="2142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股票简称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吉电股份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股票代码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000875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股票上市交易所</w:t>
            </w:r>
          </w:p>
        </w:tc>
        <w:tc>
          <w:tcPr>
            <w:tcW w:w="642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深圳证券交易所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联系人和联系方式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董事会秘书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证券事务代表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刘爽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高雪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办公地址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吉林省长春市人民大街9699号，邮编130022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吉林省长春市人民大街9699号，邮编130022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电话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0431-81150932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0431-81150933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电子信箱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jdgf@spic.com.cn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gaoxue@spic.com.cn</w:t>
            </w:r>
          </w:p>
        </w:tc>
      </w:tr>
    </w:tbl>
    <w:p>
      <w:pPr>
        <w:keepNext/>
        <w:keepLines/>
        <w:spacing w:before="300" w:after="300" w:line="280" w:lineRule="exact"/>
        <w:jc w:val="left"/>
        <w:outlineLvl w:val="2"/>
        <w:rPr>
          <w:rFonts w:ascii="宋体" w:hAnsi="宋体" w:eastAsia="宋体" w:cs="宋体"/>
          <w:b/>
          <w:bCs/>
          <w:sz w:val="21"/>
          <w:szCs w:val="21"/>
        </w:rPr>
      </w:pPr>
      <w:bookmarkStart w:id="3" w:name="_Toc988892"/>
      <w:r>
        <w:rPr>
          <w:rFonts w:ascii="宋体" w:hAnsi="宋体" w:eastAsia="宋体" w:cs="宋体"/>
          <w:b/>
          <w:bCs/>
          <w:sz w:val="21"/>
          <w:szCs w:val="21"/>
        </w:rPr>
        <w:t>2、主要会计数据和财务指标</w:t>
      </w:r>
      <w:bookmarkEnd w:id="3"/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公司是否需追溯调整或重述以前年度会计数据</w:t>
      </w:r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□是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否</w:t>
      </w:r>
    </w:p>
    <w:tbl>
      <w:tblPr>
        <w:tblStyle w:val="3"/>
        <w:tblW w:w="9640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6"/>
        <w:gridCol w:w="1928"/>
        <w:gridCol w:w="1928"/>
        <w:gridCol w:w="1928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/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本报告期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上年同期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本报告期比上年同期增减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营业收入（元）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6,568,656,967.40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6,887,250,278.97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-4.63%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归属于上市公司股东的净利润（元）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725,517,786.13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1,094,564,982.49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-33.72%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归属于上市公司股东的扣除非经常性损益的净利润（元）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706,819,826.63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1,031,835,864.85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-31.50%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经营活动产生的现金流量净额（元）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2,409,273,081.79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2,053,723,020.51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17.31%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基本每股收益（元/股）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0.20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0.39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-48.72%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稀释每股收益（元/股）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0.20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0.39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-48.72%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加权平均净资产收益率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4.23%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8.85%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-4.62%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/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本报告期末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上年度末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本报告期末比上年度末增减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总资产（元）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88,281,746,123.90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82,963,773,190.36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6.41%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8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归属于上市公司股东的净资产（元）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17,477,080,949.27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16,757,287,629.58</w:t>
            </w:r>
          </w:p>
        </w:tc>
        <w:tc>
          <w:tcPr>
            <w:tcW w:w="192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4.30%</w:t>
            </w:r>
          </w:p>
        </w:tc>
      </w:tr>
    </w:tbl>
    <w:p>
      <w:pPr>
        <w:keepNext/>
        <w:keepLines/>
        <w:spacing w:before="300" w:after="300" w:line="280" w:lineRule="exact"/>
        <w:jc w:val="left"/>
        <w:outlineLvl w:val="2"/>
        <w:rPr>
          <w:rFonts w:ascii="宋体" w:hAnsi="宋体" w:eastAsia="宋体" w:cs="宋体"/>
          <w:b/>
          <w:bCs/>
          <w:sz w:val="21"/>
          <w:szCs w:val="21"/>
        </w:rPr>
      </w:pPr>
      <w:bookmarkStart w:id="4" w:name="_Toc988893"/>
      <w:r>
        <w:rPr>
          <w:rFonts w:ascii="宋体" w:hAnsi="宋体" w:eastAsia="宋体" w:cs="宋体"/>
          <w:b/>
          <w:bCs/>
          <w:sz w:val="21"/>
          <w:szCs w:val="21"/>
        </w:rPr>
        <w:t>3、公司股东数量及持股情况</w:t>
      </w:r>
      <w:bookmarkEnd w:id="4"/>
    </w:p>
    <w:p>
      <w:pPr>
        <w:spacing w:before="120" w:after="120" w:line="240" w:lineRule="exact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单位：股</w:t>
      </w:r>
    </w:p>
    <w:tbl>
      <w:tblPr>
        <w:tblStyle w:val="3"/>
        <w:tblW w:w="9639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071"/>
        <w:gridCol w:w="1071"/>
        <w:gridCol w:w="1071"/>
        <w:gridCol w:w="1071"/>
        <w:gridCol w:w="2142"/>
        <w:gridCol w:w="1071"/>
        <w:gridCol w:w="10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报告期末普通股股东总数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161,391</w:t>
            </w:r>
          </w:p>
        </w:tc>
        <w:tc>
          <w:tcPr>
            <w:tcW w:w="32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报告期末表决权恢复的优先股股东总数（如有）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639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前10名股东持股情况（不含通过转融通出借股份）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股东名称</w:t>
            </w:r>
          </w:p>
        </w:tc>
        <w:tc>
          <w:tcPr>
            <w:tcW w:w="1071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股东性质</w:t>
            </w:r>
          </w:p>
        </w:tc>
        <w:tc>
          <w:tcPr>
            <w:tcW w:w="1071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持股比例</w:t>
            </w:r>
          </w:p>
        </w:tc>
        <w:tc>
          <w:tcPr>
            <w:tcW w:w="2142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持股数量</w:t>
            </w:r>
          </w:p>
        </w:tc>
        <w:tc>
          <w:tcPr>
            <w:tcW w:w="2142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持有有限售条件的股份数量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质押、标记或冻结情况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/>
        </w:tc>
        <w:tc>
          <w:tcPr>
            <w:tcW w:w="107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/>
        </w:tc>
        <w:tc>
          <w:tcPr>
            <w:tcW w:w="1071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/>
        </w:tc>
        <w:tc>
          <w:tcPr>
            <w:tcW w:w="2142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/>
        </w:tc>
        <w:tc>
          <w:tcPr>
            <w:tcW w:w="2142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/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股份状态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国家电投集团吉林能源投资有限公司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国有法人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29.62%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1,074,387,019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284,601,234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国家电力投资集团有限公司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国有法人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4.38%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158,884,995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中交资本控股有限公司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国有法人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3.00%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108,900,000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易米基金－日照钢铁控股集团有限公司－易米基金元启一号单一资产管理计划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其他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1.59%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57,800,000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易米基金－日照钢铁控股集团有限公司－易米基金元启二号单一资产管理计划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其他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1.59%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57,800,000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吉林省投资集团有限公司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国有法人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1.48%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53,700,000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湖北省铁路发展基金有限责任公司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境内非国有法人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1.46%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52,800,000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国调二期协同发展基金股份有限公司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境内非国有法人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1.08%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39,000,000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吉林省亚东国有资本投资有限公司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国有法人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0.81%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29,400,000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国家电投集团创新投资有限公司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国有法人</w:t>
            </w:r>
            <w:bookmarkStart w:id="11" w:name="_GoBack"/>
            <w:bookmarkEnd w:id="11"/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0.78%</w:t>
            </w:r>
          </w:p>
        </w:tc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28,164,057</w:t>
            </w:r>
          </w:p>
        </w:tc>
        <w:tc>
          <w:tcPr>
            <w:tcW w:w="21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不适用</w:t>
            </w:r>
          </w:p>
        </w:tc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上述股东关联关系或一致行动的说明</w:t>
            </w:r>
          </w:p>
        </w:tc>
        <w:tc>
          <w:tcPr>
            <w:tcW w:w="749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上述前10名股东中，除吉林能投、国家电投集团创新投资有限公司外，其他8家公司均通过向特定对象发行股票成为公司前10名股东。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1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参与融资融券业务股东情况说明（如有）</w:t>
            </w:r>
          </w:p>
        </w:tc>
        <w:tc>
          <w:tcPr>
            <w:tcW w:w="7497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无</w:t>
            </w:r>
          </w:p>
        </w:tc>
      </w:tr>
    </w:tbl>
    <w:p>
      <w:pPr>
        <w:spacing w:before="100" w:after="10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持股5%以上股东、前10名股东及前10名无限售流通股股东参与转融通业务出借股份情况</w:t>
      </w:r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□适用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不适用</w:t>
      </w:r>
    </w:p>
    <w:p>
      <w:pPr>
        <w:spacing w:before="100" w:after="10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前10名股东及前10名无限售流通股股东因转融通出借/归还原因导致较上期发生变化</w:t>
      </w:r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□适用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不适用</w:t>
      </w:r>
    </w:p>
    <w:p>
      <w:pPr>
        <w:keepNext/>
        <w:keepLines/>
        <w:spacing w:before="300" w:after="300" w:line="280" w:lineRule="exact"/>
        <w:jc w:val="left"/>
        <w:outlineLvl w:val="2"/>
        <w:rPr>
          <w:rFonts w:ascii="宋体" w:hAnsi="宋体" w:eastAsia="宋体" w:cs="宋体"/>
          <w:b/>
          <w:bCs/>
          <w:sz w:val="21"/>
          <w:szCs w:val="21"/>
        </w:rPr>
      </w:pPr>
      <w:bookmarkStart w:id="5" w:name="_Toc988894"/>
      <w:r>
        <w:rPr>
          <w:rFonts w:ascii="宋体" w:hAnsi="宋体" w:eastAsia="宋体" w:cs="宋体"/>
          <w:b/>
          <w:bCs/>
          <w:sz w:val="21"/>
          <w:szCs w:val="21"/>
        </w:rPr>
        <w:t>4、控股股东或实际控制人变更情况</w:t>
      </w:r>
      <w:bookmarkEnd w:id="5"/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控股股东报告期内变更</w:t>
      </w:r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□适用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不适用</w:t>
      </w:r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公司报告期控股股东未发生变更。</w:t>
      </w:r>
    </w:p>
    <w:p>
      <w:pPr>
        <w:spacing w:before="100" w:after="10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实际控制人报告期内变更</w:t>
      </w:r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□适用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不适用</w:t>
      </w:r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公司报告期实际控制人未发生变更。</w:t>
      </w:r>
    </w:p>
    <w:p>
      <w:pPr>
        <w:keepNext/>
        <w:keepLines/>
        <w:spacing w:before="300" w:after="300" w:line="280" w:lineRule="exact"/>
        <w:jc w:val="left"/>
        <w:outlineLvl w:val="2"/>
        <w:rPr>
          <w:rFonts w:ascii="宋体" w:hAnsi="宋体" w:eastAsia="宋体" w:cs="宋体"/>
          <w:b/>
          <w:bCs/>
          <w:sz w:val="21"/>
          <w:szCs w:val="21"/>
        </w:rPr>
      </w:pPr>
      <w:bookmarkStart w:id="6" w:name="_Toc988895"/>
      <w:r>
        <w:rPr>
          <w:rFonts w:ascii="宋体" w:hAnsi="宋体" w:eastAsia="宋体" w:cs="宋体"/>
          <w:b/>
          <w:bCs/>
          <w:sz w:val="21"/>
          <w:szCs w:val="21"/>
        </w:rPr>
        <w:t>5、公司优先股股东总数及前10名优先股股东持股情况表</w:t>
      </w:r>
      <w:bookmarkEnd w:id="6"/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 xml:space="preserve">□适用 </w:t>
      </w: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不适用</w:t>
      </w:r>
    </w:p>
    <w:p>
      <w:pPr>
        <w:spacing w:before="0" w:after="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公司报告期无优先股股东持股情况。</w:t>
      </w:r>
    </w:p>
    <w:p>
      <w:pPr>
        <w:keepNext/>
        <w:keepLines/>
        <w:spacing w:before="300" w:after="300" w:line="280" w:lineRule="exact"/>
        <w:jc w:val="left"/>
        <w:outlineLvl w:val="2"/>
        <w:rPr>
          <w:rFonts w:ascii="宋体" w:hAnsi="宋体" w:eastAsia="宋体" w:cs="宋体"/>
          <w:b/>
          <w:bCs/>
          <w:sz w:val="21"/>
          <w:szCs w:val="21"/>
        </w:rPr>
      </w:pPr>
      <w:bookmarkStart w:id="7" w:name="_Toc988896"/>
      <w:r>
        <w:rPr>
          <w:rFonts w:ascii="宋体" w:hAnsi="宋体" w:eastAsia="宋体" w:cs="宋体"/>
          <w:b/>
          <w:bCs/>
          <w:sz w:val="21"/>
          <w:szCs w:val="21"/>
        </w:rPr>
        <w:t>6、在半年度报告批准报出日存续的债券情况</w:t>
      </w:r>
      <w:bookmarkEnd w:id="7"/>
    </w:p>
    <w:p>
      <w:pPr>
        <w:spacing w:before="40" w:after="40" w:line="240" w:lineRule="exact"/>
        <w:jc w:val="lef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sym w:font="Wingdings 2" w:char="F052"/>
      </w:r>
      <w:r>
        <w:rPr>
          <w:rFonts w:ascii="宋体" w:hAnsi="宋体" w:eastAsia="宋体" w:cs="宋体"/>
          <w:sz w:val="18"/>
          <w:szCs w:val="18"/>
        </w:rPr>
        <w:t>适用 □不适用</w:t>
      </w:r>
    </w:p>
    <w:p>
      <w:pPr>
        <w:keepNext/>
        <w:keepLines/>
        <w:spacing w:before="300" w:after="300" w:line="280" w:lineRule="exact"/>
        <w:jc w:val="left"/>
        <w:outlineLvl w:val="3"/>
        <w:rPr>
          <w:rFonts w:ascii="宋体" w:hAnsi="宋体" w:eastAsia="宋体" w:cs="宋体"/>
          <w:b/>
          <w:bCs/>
          <w:sz w:val="18"/>
          <w:szCs w:val="18"/>
        </w:rPr>
      </w:pPr>
      <w:bookmarkStart w:id="8" w:name="_Toc988897"/>
      <w:r>
        <w:rPr>
          <w:rFonts w:ascii="宋体" w:hAnsi="宋体" w:eastAsia="宋体" w:cs="宋体"/>
          <w:b/>
          <w:bCs/>
          <w:sz w:val="18"/>
          <w:szCs w:val="18"/>
        </w:rPr>
        <w:t xml:space="preserve">（1） 债券基本信息 </w:t>
      </w:r>
      <w:bookmarkEnd w:id="8"/>
    </w:p>
    <w:tbl>
      <w:tblPr>
        <w:tblStyle w:val="3"/>
        <w:tblW w:w="9639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377"/>
        <w:gridCol w:w="1377"/>
        <w:gridCol w:w="1377"/>
        <w:gridCol w:w="1377"/>
        <w:gridCol w:w="1377"/>
        <w:gridCol w:w="1377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债券名称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债券简称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债券代码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发行日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到期日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债券余额（万元）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利率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吉林电力股份有限公司2022年面向专业投资者公开发行绿色公司债券(专项用于碳中和)(第一期）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22吉电G1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149848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2022年03月17日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2027年03月18日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100,000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3.80%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吉林电力股份有限公司2022年面向专业投资者公开发行绿色乡村振兴公司债券（专项用于碳中和）（第二期）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22吉电G2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148096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2022年10月21日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2025年10月24日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100,000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2.90%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吉林电力股份有限公司2023年面向专业机构投资者公开发行科技创新绿色乡村振兴公司债券(专项用于碳中和)(第一期)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23吉电GCKV01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148530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2023年11月30日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2026年12月01日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50,000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2.99%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吉林电力股份有限公司2023 年度第一期中期票据（可持续挂钩/乡村振兴）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23吉林电力MTN001(可持续挂钩)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102382646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2023年09月26日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2026年09月27日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100,000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3.28%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吉林电力股份有限公司2024年度第一期两新中期票据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24吉林电力MTN001（两新）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102484553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2024年10月22日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2027年10月23日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50,000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2.33%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吉林电力股份有限公司2025年面向专业机构投资者公开发行科技创新公司债券（第一期）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25吉电K1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524366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2025年07月15日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2028年07月15日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100,000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1.77%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吉林电力股份有限公司2025年度第一期超短期融资券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25吉林电力SCP001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12581984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2025年08月18日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2025年12月17日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70,000</w:t>
            </w:r>
          </w:p>
        </w:tc>
        <w:tc>
          <w:tcPr>
            <w:tcW w:w="137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1.67%</w:t>
            </w:r>
          </w:p>
        </w:tc>
      </w:tr>
    </w:tbl>
    <w:p>
      <w:pPr>
        <w:keepNext/>
        <w:keepLines/>
        <w:spacing w:before="300" w:after="300" w:line="280" w:lineRule="exact"/>
        <w:jc w:val="left"/>
        <w:outlineLvl w:val="3"/>
        <w:rPr>
          <w:rFonts w:ascii="宋体" w:hAnsi="宋体" w:eastAsia="宋体" w:cs="宋体"/>
          <w:b/>
          <w:bCs/>
          <w:sz w:val="18"/>
          <w:szCs w:val="18"/>
        </w:rPr>
      </w:pPr>
      <w:bookmarkStart w:id="9" w:name="_Toc988898"/>
      <w:r>
        <w:rPr>
          <w:rFonts w:ascii="宋体" w:hAnsi="宋体" w:eastAsia="宋体" w:cs="宋体"/>
          <w:b/>
          <w:bCs/>
          <w:sz w:val="18"/>
          <w:szCs w:val="18"/>
        </w:rPr>
        <w:t>（2） 截至报告期末的财务指标</w:t>
      </w:r>
      <w:bookmarkEnd w:id="9"/>
    </w:p>
    <w:p>
      <w:pPr>
        <w:spacing w:before="40" w:after="40" w:line="240" w:lineRule="exact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单位：万元</w:t>
      </w:r>
    </w:p>
    <w:tbl>
      <w:tblPr>
        <w:tblStyle w:val="3"/>
        <w:tblW w:w="9639" w:type="dxa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3"/>
        <w:gridCol w:w="3213"/>
        <w:gridCol w:w="3213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bookmarkStart w:id="10" w:name="_Toc988899"/>
            <w:r>
              <w:rPr>
                <w:rFonts w:ascii="宋体" w:hAnsi="宋体" w:eastAsia="宋体" w:cs="宋体"/>
                <w:sz w:val="18"/>
                <w:szCs w:val="18"/>
              </w:rPr>
              <w:t>项目</w:t>
            </w:r>
          </w:p>
        </w:tc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本报告期末</w:t>
            </w:r>
          </w:p>
        </w:tc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上年末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资产负债率</w:t>
            </w:r>
          </w:p>
        </w:tc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69.21%</w:t>
            </w:r>
          </w:p>
        </w:tc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69.99%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项目</w:t>
            </w:r>
          </w:p>
        </w:tc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本报告期</w:t>
            </w:r>
          </w:p>
        </w:tc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上年同期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D3D3D3"/>
            <w:vAlign w:val="center"/>
          </w:tcPr>
          <w:p>
            <w:pPr>
              <w:spacing w:before="40" w:after="40" w:line="240" w:lineRule="exact"/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EBITDA利息保障倍数</w:t>
            </w:r>
          </w:p>
        </w:tc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5.13</w:t>
            </w:r>
          </w:p>
        </w:tc>
        <w:tc>
          <w:tcPr>
            <w:tcW w:w="32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before="0" w:after="0" w:line="240" w:lineRule="exact"/>
              <w:jc w:val="righ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5.48</w:t>
            </w:r>
          </w:p>
        </w:tc>
      </w:tr>
    </w:tbl>
    <w:p>
      <w:pPr>
        <w:keepNext/>
        <w:keepLines/>
        <w:spacing w:before="300" w:after="300" w:line="320" w:lineRule="exact"/>
        <w:jc w:val="left"/>
        <w:outlineLvl w:val="1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三、重要事项</w:t>
      </w:r>
      <w:bookmarkEnd w:id="10"/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18"/>
          <w:szCs w:val="18"/>
        </w:rPr>
        <w:t>无</w:t>
      </w:r>
    </w:p>
    <w:sectPr>
      <w:headerReference r:id="rId3" w:type="default"/>
      <w:footerReference r:id="rId4" w:type="default"/>
      <w:pgSz w:w="11905" w:h="16840"/>
      <w:pgMar w:top="1440" w:right="1134" w:bottom="1440" w:left="1134" w:header="850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rFonts w:ascii="宋体" w:eastAsia="宋体"/>
        <w:sz w:val="18"/>
        <w:szCs w:val="18"/>
      </w:rPr>
      <w:fldChar w:fldCharType="begin"/>
    </w:r>
    <w:r>
      <w:rPr>
        <w:rFonts w:ascii="宋体" w:eastAsia="宋体"/>
        <w:sz w:val="18"/>
        <w:szCs w:val="18"/>
      </w:rPr>
      <w:instrText xml:space="preserve">PAGE   \* MERGEFORMAT</w:instrText>
    </w:r>
    <w:r>
      <w:rPr>
        <w:rFonts w:ascii="宋体" w:eastAsia="宋体"/>
        <w:sz w:val="18"/>
        <w:szCs w:val="18"/>
      </w:rPr>
      <w:fldChar w:fldCharType="separate"/>
    </w:r>
    <w:r>
      <w:rPr>
        <w:rFonts w:ascii="宋体" w:eastAsia="宋体"/>
        <w:sz w:val="18"/>
        <w:szCs w:val="18"/>
      </w:rPr>
      <w:t>1</w:t>
    </w:r>
    <w:r>
      <w:rPr>
        <w:rFonts w:ascii="宋体" w:eastAsia="宋体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6" w:space="1"/>
      </w:pBdr>
      <w:jc w:val="right"/>
    </w:pPr>
    <w:r>
      <w:rPr>
        <w:rFonts w:ascii="宋体" w:eastAsia="宋体"/>
        <w:sz w:val="18"/>
        <w:szCs w:val="18"/>
      </w:rPr>
      <w:t>吉林电力股份有限公司2025年半年度报告摘要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cumentProtection w:enforcement="0"/>
  <w:compat>
    <w:doNotExpandShiftReturn/>
    <w:useFELayout/>
    <w:compatSetting w:name="compatibilityMode" w:uri="http://schemas.microsoft.com/office/word" w:val="14"/>
  </w:compat>
  <w:rsids>
    <w:rsidRoot w:val="00000000"/>
    <w:rsid w:val="0EB20A2C"/>
    <w:rsid w:val="27BA087B"/>
    <w:rsid w:val="6C586150"/>
    <w:rsid w:val="6E356A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