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8660FA">
      <w:pPr>
        <w:autoSpaceDE/>
        <w:autoSpaceDN/>
        <w:ind w:firstLine="210" w:firstLineChars="100"/>
        <w:jc w:val="both"/>
        <w:rPr>
          <w:rFonts w:hint="eastAsia"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bidi="ar-SA"/>
        </w:rPr>
        <w:t xml:space="preserve">证券代码：000875 </w:t>
      </w:r>
      <w:r>
        <w:rPr>
          <w:rFonts w:hint="eastAsia" w:ascii="Times New Roman" w:hAnsi="Times New Roman" w:eastAsia="宋体" w:cs="Times New Roman"/>
          <w:kern w:val="2"/>
          <w:sz w:val="21"/>
          <w:szCs w:val="24"/>
          <w:lang w:val="en-US" w:eastAsia="zh-CN" w:bidi="ar-SA"/>
        </w:rPr>
        <w:t xml:space="preserve">        </w:t>
      </w:r>
      <w:r>
        <w:rPr>
          <w:rFonts w:hint="default" w:ascii="Times New Roman" w:hAnsi="Times New Roman" w:eastAsia="宋体" w:cs="Times New Roman"/>
          <w:kern w:val="2"/>
          <w:sz w:val="21"/>
          <w:szCs w:val="24"/>
          <w:lang w:val="en-US" w:bidi="ar-SA"/>
        </w:rPr>
        <w:t xml:space="preserve">      </w:t>
      </w:r>
      <w:r>
        <w:rPr>
          <w:rFonts w:hint="eastAsia" w:ascii="Times New Roman" w:hAnsi="Times New Roman" w:eastAsia="宋体" w:cs="Times New Roman"/>
          <w:kern w:val="2"/>
          <w:sz w:val="21"/>
          <w:szCs w:val="24"/>
          <w:lang w:val="en-US" w:eastAsia="zh-CN" w:bidi="ar-SA"/>
        </w:rPr>
        <w:t xml:space="preserve">         </w:t>
      </w:r>
      <w:r>
        <w:rPr>
          <w:rFonts w:hint="default" w:ascii="Times New Roman" w:hAnsi="Times New Roman" w:eastAsia="宋体" w:cs="Times New Roman"/>
          <w:kern w:val="2"/>
          <w:sz w:val="21"/>
          <w:szCs w:val="24"/>
          <w:lang w:val="en-US" w:bidi="ar-SA"/>
        </w:rPr>
        <w:t xml:space="preserve">    证券简称：吉电股份        </w:t>
      </w:r>
      <w:r>
        <w:rPr>
          <w:rFonts w:hint="eastAsia" w:ascii="Times New Roman" w:hAnsi="Times New Roman" w:eastAsia="宋体" w:cs="Times New Roman"/>
          <w:kern w:val="2"/>
          <w:sz w:val="21"/>
          <w:szCs w:val="24"/>
          <w:lang w:val="en-US" w:eastAsia="zh-CN" w:bidi="ar-SA"/>
        </w:rPr>
        <w:t xml:space="preserve">                      </w:t>
      </w:r>
      <w:r>
        <w:rPr>
          <w:rFonts w:hint="default" w:ascii="Times New Roman" w:hAnsi="Times New Roman" w:eastAsia="宋体" w:cs="Times New Roman"/>
          <w:kern w:val="2"/>
          <w:sz w:val="21"/>
          <w:szCs w:val="24"/>
          <w:lang w:val="en-US" w:bidi="ar-SA"/>
        </w:rPr>
        <w:t xml:space="preserve">  公告编号：2025-06</w:t>
      </w:r>
      <w:r>
        <w:rPr>
          <w:rFonts w:hint="eastAsia" w:ascii="Times New Roman" w:hAnsi="Times New Roman" w:eastAsia="宋体" w:cs="Times New Roman"/>
          <w:kern w:val="2"/>
          <w:sz w:val="21"/>
          <w:szCs w:val="24"/>
          <w:lang w:val="en-US" w:eastAsia="zh-CN" w:bidi="ar-SA"/>
        </w:rPr>
        <w:t>3</w:t>
      </w:r>
      <w:bookmarkStart w:id="1" w:name="_GoBack"/>
      <w:bookmarkEnd w:id="1"/>
    </w:p>
    <w:p w14:paraId="6D43622F">
      <w:pPr>
        <w:pStyle w:val="6"/>
        <w:spacing w:line="126" w:lineRule="exact"/>
        <w:ind w:left="201"/>
        <w:rPr>
          <w:rFonts w:hint="eastAsia"/>
          <w:sz w:val="12"/>
        </w:rPr>
      </w:pPr>
      <w:r>
        <w:rPr>
          <w:position w:val="-2"/>
          <w:sz w:val="12"/>
        </w:rPr>
        <mc:AlternateContent>
          <mc:Choice Requires="wpg">
            <w:drawing>
              <wp:inline distT="0" distB="0" distL="0" distR="0">
                <wp:extent cx="5418455" cy="80010"/>
                <wp:effectExtent l="6985" t="3810" r="3810" b="1905"/>
                <wp:docPr id="1902537836" name="Group 2"/>
                <wp:cNvGraphicFramePr/>
                <a:graphic xmlns:a="http://schemas.openxmlformats.org/drawingml/2006/main">
                  <a:graphicData uri="http://schemas.microsoft.com/office/word/2010/wordprocessingGroup">
                    <wpg:wgp>
                      <wpg:cNvGrpSpPr/>
                      <wpg:grpSpPr>
                        <a:xfrm>
                          <a:off x="0" y="0"/>
                          <a:ext cx="5418455" cy="80010"/>
                          <a:chOff x="0" y="0"/>
                          <a:chExt cx="8533" cy="126"/>
                        </a:xfrm>
                      </wpg:grpSpPr>
                      <wps:wsp>
                        <wps:cNvPr id="1104865570" name="AutoShape 3"/>
                        <wps:cNvSpPr/>
                        <wps:spPr bwMode="auto">
                          <a:xfrm>
                            <a:off x="0" y="0"/>
                            <a:ext cx="8533" cy="126"/>
                          </a:xfrm>
                          <a:custGeom>
                            <a:avLst/>
                            <a:gdLst>
                              <a:gd name="T0" fmla="*/ 8532 w 8533"/>
                              <a:gd name="T1" fmla="*/ 36 h 126"/>
                              <a:gd name="T2" fmla="*/ 0 w 8533"/>
                              <a:gd name="T3" fmla="*/ 72 h 126"/>
                              <a:gd name="T4" fmla="*/ 0 w 8533"/>
                              <a:gd name="T5" fmla="*/ 126 h 126"/>
                              <a:gd name="T6" fmla="*/ 8532 w 8533"/>
                              <a:gd name="T7" fmla="*/ 90 h 126"/>
                              <a:gd name="T8" fmla="*/ 8532 w 8533"/>
                              <a:gd name="T9" fmla="*/ 36 h 126"/>
                              <a:gd name="T10" fmla="*/ 8532 w 8533"/>
                              <a:gd name="T11" fmla="*/ 0 h 126"/>
                              <a:gd name="T12" fmla="*/ 0 w 8533"/>
                              <a:gd name="T13" fmla="*/ 36 h 126"/>
                              <a:gd name="T14" fmla="*/ 0 w 8533"/>
                              <a:gd name="T15" fmla="*/ 54 h 126"/>
                              <a:gd name="T16" fmla="*/ 8532 w 8533"/>
                              <a:gd name="T17" fmla="*/ 18 h 126"/>
                              <a:gd name="T18" fmla="*/ 8532 w 8533"/>
                              <a:gd name="T19" fmla="*/ 0 h 12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8533" h="126">
                                <a:moveTo>
                                  <a:pt x="8532" y="36"/>
                                </a:moveTo>
                                <a:lnTo>
                                  <a:pt x="0" y="72"/>
                                </a:lnTo>
                                <a:lnTo>
                                  <a:pt x="0" y="126"/>
                                </a:lnTo>
                                <a:lnTo>
                                  <a:pt x="8532" y="90"/>
                                </a:lnTo>
                                <a:lnTo>
                                  <a:pt x="8532" y="36"/>
                                </a:lnTo>
                                <a:close/>
                                <a:moveTo>
                                  <a:pt x="8532" y="0"/>
                                </a:moveTo>
                                <a:lnTo>
                                  <a:pt x="0" y="36"/>
                                </a:lnTo>
                                <a:lnTo>
                                  <a:pt x="0" y="54"/>
                                </a:lnTo>
                                <a:lnTo>
                                  <a:pt x="8532" y="18"/>
                                </a:lnTo>
                                <a:lnTo>
                                  <a:pt x="8532" y="0"/>
                                </a:lnTo>
                                <a:close/>
                              </a:path>
                            </a:pathLst>
                          </a:custGeom>
                          <a:solidFill>
                            <a:srgbClr val="FF6600"/>
                          </a:solidFill>
                          <a:ln>
                            <a:noFill/>
                          </a:ln>
                        </wps:spPr>
                        <wps:bodyPr rot="0" vert="horz" wrap="square" lIns="91440" tIns="45720" rIns="91440" bIns="45720" anchor="t" anchorCtr="0" upright="1">
                          <a:noAutofit/>
                        </wps:bodyPr>
                      </wps:wsp>
                    </wpg:wgp>
                  </a:graphicData>
                </a:graphic>
              </wp:inline>
            </w:drawing>
          </mc:Choice>
          <mc:Fallback>
            <w:pict>
              <v:group id="Group 2" o:spid="_x0000_s1026" o:spt="203" style="height:6.3pt;width:426.65pt;" coordsize="8533,126" o:gfxdata="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">
                <o:lock v:ext="edit" aspectratio="f"/>
                <v:shape id="AutoShape 3" o:spid="_x0000_s1026" o:spt="100" style="position:absolute;left:0;top:0;height:126;width:8533;" fillcolor="#FF6600" filled="t" stroked="f" coordsize="8533,126" o:gfxdata="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D6&#10;byZswwAAAOMAAAAPAAAAAAAAAAEAIAAAACIAAABkcnMvZG93bnJldi54bWxQSwECFAAUAAAACACH&#10;TuJAMy8FnjsAAAA5AAAAEAAAAAAAAAABACAAAAASAQAAZHJzL3NoYXBleG1sLnhtbFBLBQYAAAAA&#10;BgAGAFsBAAC8AwAAAAA=&#10;" path="m8532,36l0,72,0,126,8532,90,8532,36xm8532,0l0,36,0,54,8532,18,8532,0xe">
                  <v:path o:connectlocs="8532,36;0,72;0,126;8532,90;8532,36;8532,0;0,36;0,54;8532,18;8532,0" o:connectangles="0,0,0,0,0,0,0,0,0,0"/>
                  <v:fill on="t" focussize="0,0"/>
                  <v:stroke on="f"/>
                  <v:imagedata o:title=""/>
                  <o:lock v:ext="edit" aspectratio="f"/>
                </v:shape>
                <w10:wrap type="none"/>
                <w10:anchorlock/>
              </v:group>
            </w:pict>
          </mc:Fallback>
        </mc:AlternateContent>
      </w:r>
    </w:p>
    <w:p w14:paraId="4D1A9F95">
      <w:pPr>
        <w:pStyle w:val="6"/>
        <w:ind w:left="0"/>
        <w:rPr>
          <w:rFonts w:hint="eastAsia" w:ascii="黑体" w:hAnsi="黑体" w:eastAsia="黑体"/>
          <w:sz w:val="30"/>
        </w:rPr>
      </w:pPr>
    </w:p>
    <w:p w14:paraId="1168F05F">
      <w:pPr>
        <w:spacing w:line="600" w:lineRule="exact"/>
        <w:ind w:left="1555"/>
        <w:rPr>
          <w:rFonts w:hint="eastAsia" w:asciiTheme="majorEastAsia" w:hAnsiTheme="majorEastAsia" w:eastAsiaTheme="majorEastAsia"/>
          <w:b/>
          <w:sz w:val="44"/>
        </w:rPr>
      </w:pPr>
      <w:r>
        <w:rPr>
          <w:rFonts w:hint="eastAsia" w:asciiTheme="majorEastAsia" w:hAnsiTheme="majorEastAsia" w:eastAsiaTheme="majorEastAsia"/>
          <w:b/>
          <w:sz w:val="44"/>
        </w:rPr>
        <w:t>吉林电力股份有限公司董事会</w:t>
      </w:r>
    </w:p>
    <w:p w14:paraId="01DA2CCE">
      <w:pPr>
        <w:spacing w:before="13" w:line="600" w:lineRule="exact"/>
        <w:ind w:left="3321" w:right="246" w:hanging="3207"/>
        <w:rPr>
          <w:rFonts w:hint="eastAsia" w:ascii="黑体" w:hAnsi="黑体" w:eastAsia="黑体"/>
          <w:b/>
          <w:sz w:val="44"/>
        </w:rPr>
      </w:pPr>
      <w:r>
        <w:rPr>
          <w:rFonts w:hint="eastAsia" w:asciiTheme="majorEastAsia" w:hAnsiTheme="majorEastAsia" w:eastAsiaTheme="majorEastAsia"/>
          <w:b/>
          <w:spacing w:val="-31"/>
          <w:sz w:val="44"/>
        </w:rPr>
        <w:t>关于</w:t>
      </w:r>
      <w:r>
        <w:rPr>
          <w:rFonts w:asciiTheme="majorEastAsia" w:hAnsiTheme="majorEastAsia" w:eastAsiaTheme="majorEastAsia"/>
          <w:b/>
          <w:sz w:val="44"/>
        </w:rPr>
        <w:t>202</w:t>
      </w:r>
      <w:r>
        <w:rPr>
          <w:rFonts w:hint="eastAsia" w:asciiTheme="majorEastAsia" w:hAnsiTheme="majorEastAsia" w:eastAsiaTheme="majorEastAsia"/>
          <w:b/>
          <w:sz w:val="44"/>
        </w:rPr>
        <w:t>5</w:t>
      </w:r>
      <w:r>
        <w:rPr>
          <w:rFonts w:hint="eastAsia" w:asciiTheme="majorEastAsia" w:hAnsiTheme="majorEastAsia" w:eastAsiaTheme="majorEastAsia"/>
          <w:b/>
          <w:spacing w:val="-13"/>
          <w:sz w:val="44"/>
        </w:rPr>
        <w:t>年半年度募集资金存放与使用情况</w:t>
      </w:r>
      <w:r>
        <w:rPr>
          <w:rFonts w:hint="eastAsia" w:asciiTheme="majorEastAsia" w:hAnsiTheme="majorEastAsia" w:eastAsiaTheme="majorEastAsia"/>
          <w:b/>
          <w:sz w:val="44"/>
        </w:rPr>
        <w:t>的专项报告</w:t>
      </w:r>
    </w:p>
    <w:p w14:paraId="29F58878">
      <w:pPr>
        <w:spacing w:line="600" w:lineRule="exact"/>
        <w:rPr>
          <w:rFonts w:hint="eastAsia"/>
          <w:sz w:val="28"/>
          <w:szCs w:val="28"/>
        </w:rPr>
      </w:pPr>
    </w:p>
    <w:p w14:paraId="4B812ED3">
      <w:pPr>
        <w:adjustRightInd w:val="0"/>
        <w:snapToGrid w:val="0"/>
        <w:spacing w:line="600" w:lineRule="exact"/>
        <w:ind w:firstLine="560" w:firstLineChars="200"/>
        <w:jc w:val="both"/>
        <w:rPr>
          <w:rFonts w:hint="eastAsia"/>
          <w:sz w:val="28"/>
          <w:szCs w:val="28"/>
        </w:rPr>
      </w:pPr>
      <w:r>
        <w:rPr>
          <w:rFonts w:hint="eastAsia"/>
          <w:sz w:val="28"/>
          <w:szCs w:val="28"/>
        </w:rPr>
        <w:t>根据中国证券监督管理委员会(以下简称“中国证监会”)发布的</w:t>
      </w:r>
      <w:r>
        <w:rPr>
          <w:sz w:val="28"/>
          <w:szCs w:val="28"/>
        </w:rPr>
        <w:t>《上市公司募集资金监管规则》</w:t>
      </w:r>
      <w:r>
        <w:rPr>
          <w:rFonts w:hint="eastAsia"/>
          <w:sz w:val="28"/>
          <w:szCs w:val="28"/>
        </w:rPr>
        <w:t>和深圳证券交易所发布的《深圳证券交易所上市公司自律监管指引第1号——主板上市公司规范运作》《深圳证券交易所上市公司自律监管指南第2号——公告格式》等有关规定，吉林电力股份有限公司（以下简称“公司”或“本公司”）董事会编制了截至2025年6月30日止的募集资金半年度存放与实际使用情况的专项报告。</w:t>
      </w:r>
    </w:p>
    <w:p w14:paraId="35EE2D38">
      <w:pPr>
        <w:pStyle w:val="4"/>
        <w:autoSpaceDE/>
        <w:autoSpaceDN/>
        <w:adjustRightInd w:val="0"/>
        <w:snapToGrid w:val="0"/>
        <w:spacing w:line="600" w:lineRule="exact"/>
        <w:ind w:left="0" w:firstLine="562" w:firstLineChars="200"/>
        <w:rPr>
          <w:rFonts w:hint="eastAsia"/>
          <w:sz w:val="28"/>
          <w:szCs w:val="28"/>
        </w:rPr>
      </w:pPr>
      <w:r>
        <w:rPr>
          <w:sz w:val="28"/>
          <w:szCs w:val="28"/>
        </w:rPr>
        <w:t>一、募集资金基本情况</w:t>
      </w:r>
    </w:p>
    <w:p w14:paraId="0D498BA6">
      <w:pPr>
        <w:adjustRightInd w:val="0"/>
        <w:snapToGrid w:val="0"/>
        <w:spacing w:line="600" w:lineRule="exact"/>
        <w:ind w:firstLine="560" w:firstLineChars="200"/>
        <w:jc w:val="both"/>
        <w:rPr>
          <w:rFonts w:hint="eastAsia"/>
          <w:sz w:val="28"/>
          <w:szCs w:val="28"/>
        </w:rPr>
      </w:pPr>
      <w:r>
        <w:rPr>
          <w:rFonts w:hint="eastAsia"/>
          <w:sz w:val="28"/>
          <w:szCs w:val="28"/>
        </w:rPr>
        <w:t>公司经中国证监会证监许可〔2016〕1994号文核准，向国家电投集团吉林省能源交通总公司等不超过十名的特定对象非公开发行股票68,570.18万股新股，发行价格为5.60元/股，募集资金总额为人民币383,993.00万元，扣除发行费用后的募集资金净额为人民币375,726.74万元，资金于2016年12月19日到账。</w:t>
      </w:r>
    </w:p>
    <w:p w14:paraId="597F0BA9">
      <w:pPr>
        <w:adjustRightInd w:val="0"/>
        <w:snapToGrid w:val="0"/>
        <w:spacing w:line="600" w:lineRule="exact"/>
        <w:ind w:firstLine="560" w:firstLineChars="200"/>
        <w:jc w:val="both"/>
        <w:rPr>
          <w:rFonts w:hint="eastAsia"/>
          <w:sz w:val="28"/>
          <w:szCs w:val="28"/>
        </w:rPr>
      </w:pPr>
      <w:r>
        <w:rPr>
          <w:rFonts w:hint="eastAsia"/>
          <w:sz w:val="28"/>
          <w:szCs w:val="28"/>
        </w:rPr>
        <w:t>截至2025年6月30日，本公司累计使用募集资金人民币359,986.67万元，其中：以前年度使用359,712.52万元，本报告期使用274.15万元，均投入募集资金项目。此外，本报告期公司使用部分闲置募集资金暂时补充流动资金</w:t>
      </w:r>
      <w:bookmarkStart w:id="0" w:name="OLE_LINK1"/>
      <w:r>
        <w:rPr>
          <w:rFonts w:hint="eastAsia"/>
          <w:sz w:val="28"/>
          <w:szCs w:val="28"/>
        </w:rPr>
        <w:t>10,493.80</w:t>
      </w:r>
      <w:bookmarkEnd w:id="0"/>
      <w:r>
        <w:rPr>
          <w:rFonts w:hint="eastAsia"/>
          <w:sz w:val="28"/>
          <w:szCs w:val="28"/>
        </w:rPr>
        <w:t>万元，本报告期公司将节余募集资金永久性补充流动资金8,833.60万元。</w:t>
      </w:r>
    </w:p>
    <w:p w14:paraId="79EF409C">
      <w:pPr>
        <w:adjustRightInd w:val="0"/>
        <w:snapToGrid w:val="0"/>
        <w:spacing w:line="600" w:lineRule="exact"/>
        <w:ind w:firstLine="560" w:firstLineChars="200"/>
        <w:jc w:val="both"/>
        <w:rPr>
          <w:rFonts w:hint="eastAsia"/>
          <w:sz w:val="28"/>
          <w:szCs w:val="28"/>
        </w:rPr>
      </w:pPr>
      <w:r>
        <w:rPr>
          <w:rFonts w:hint="eastAsia"/>
          <w:sz w:val="28"/>
          <w:szCs w:val="28"/>
        </w:rPr>
        <w:t>截至2025年6月30日，募集资金余额为10,650.81万元，其中，暂时补充流动资金10,493.80万元，存放于募集资金专户余额为157.02万元。</w:t>
      </w:r>
    </w:p>
    <w:p w14:paraId="6A8EA84A">
      <w:pPr>
        <w:pStyle w:val="4"/>
        <w:autoSpaceDE/>
        <w:autoSpaceDN/>
        <w:adjustRightInd w:val="0"/>
        <w:snapToGrid w:val="0"/>
        <w:spacing w:line="600" w:lineRule="exact"/>
        <w:ind w:left="663"/>
        <w:rPr>
          <w:rFonts w:hint="eastAsia"/>
          <w:sz w:val="28"/>
          <w:szCs w:val="28"/>
        </w:rPr>
      </w:pPr>
      <w:r>
        <w:rPr>
          <w:sz w:val="28"/>
          <w:szCs w:val="28"/>
        </w:rPr>
        <w:t>二、募集资金存放和管理情况</w:t>
      </w:r>
    </w:p>
    <w:p w14:paraId="7DDB1664">
      <w:pPr>
        <w:pStyle w:val="6"/>
        <w:adjustRightInd w:val="0"/>
        <w:snapToGrid w:val="0"/>
        <w:spacing w:line="600" w:lineRule="exact"/>
        <w:ind w:left="102" w:firstLine="560" w:firstLineChars="200"/>
        <w:jc w:val="both"/>
        <w:rPr>
          <w:rFonts w:hint="eastAsia"/>
          <w:sz w:val="28"/>
          <w:szCs w:val="28"/>
        </w:rPr>
      </w:pPr>
      <w:r>
        <w:rPr>
          <w:rFonts w:hint="eastAsia"/>
          <w:sz w:val="28"/>
          <w:szCs w:val="28"/>
        </w:rPr>
        <w:t>为了规范募集资金的管理和使用，提高资金使用效率和效益，保护投资者权益，本公司按照中国证监会</w:t>
      </w:r>
      <w:r>
        <w:rPr>
          <w:sz w:val="28"/>
          <w:szCs w:val="28"/>
        </w:rPr>
        <w:t>《上市公司募集资金监管规则》</w:t>
      </w:r>
      <w:r>
        <w:rPr>
          <w:rFonts w:hint="eastAsia"/>
          <w:sz w:val="28"/>
          <w:szCs w:val="28"/>
        </w:rPr>
        <w:t>及《深圳证券交易所上市公司自律监管指引第1号——主板上市公司规范运作》等有关法律、法规和规范性文件的规定，结合公司实际情况，制定了《募集资金管理规定》，对募集资金的存储、审批、使用、管理与监督作出了明确的规定。公司对募集资金实行专户存储，并对募集资金的使用执行严格的审批程序，以保证专款专用。</w:t>
      </w:r>
    </w:p>
    <w:p w14:paraId="58F6EFAA">
      <w:pPr>
        <w:pStyle w:val="6"/>
        <w:autoSpaceDE/>
        <w:autoSpaceDN/>
        <w:adjustRightInd w:val="0"/>
        <w:snapToGrid w:val="0"/>
        <w:spacing w:line="600" w:lineRule="exact"/>
        <w:ind w:left="102" w:right="210" w:firstLine="561"/>
        <w:jc w:val="both"/>
        <w:rPr>
          <w:rFonts w:hint="eastAsia"/>
          <w:sz w:val="28"/>
          <w:szCs w:val="28"/>
        </w:rPr>
      </w:pPr>
      <w:r>
        <w:rPr>
          <w:sz w:val="28"/>
          <w:szCs w:val="28"/>
        </w:rPr>
        <w:t>按照《募集资金管理制度》的有关规定，公司及保荐机构国信证券股份有限公司（以下简称"国信证券"）于2016年12月16日分别与中国工商银行股份有限公司长春南部都市经济开发区支行、中国建设银行股份有限公司长春工农大路支行、中国农业银行股份有限公司长春盛世城支行签署了《募集资金专户存储三方监管协议》。</w:t>
      </w:r>
    </w:p>
    <w:p w14:paraId="145537FC">
      <w:pPr>
        <w:pStyle w:val="6"/>
        <w:autoSpaceDE/>
        <w:autoSpaceDN/>
        <w:adjustRightInd w:val="0"/>
        <w:snapToGrid w:val="0"/>
        <w:spacing w:line="600" w:lineRule="exact"/>
        <w:ind w:left="102" w:right="210" w:firstLine="561"/>
        <w:jc w:val="both"/>
        <w:rPr>
          <w:rFonts w:hint="eastAsia"/>
          <w:sz w:val="28"/>
          <w:szCs w:val="28"/>
        </w:rPr>
      </w:pPr>
      <w:r>
        <w:rPr>
          <w:rFonts w:hint="eastAsia"/>
          <w:sz w:val="28"/>
          <w:szCs w:val="28"/>
        </w:rPr>
        <w:t>2016年12月16日，公司所属全资子公司辉县市吉电新能源有限公司与中国农业银行股份有限公司辉县市支行、公司所属全资子公司吉电（滁州）章广风力发电有限公司与中国农业银行滁州南樵支行、公司所属全资子公司青海聚鸿新能源有限公司与中国建设银行西宁昆仑路支行、公司所属全资子公司吉林中电投新能源有限公司与中国工商银行股份有限公司长春南大街支行、公司所属全资子公司长岭中电投第一风力发电有限公司与中国工商银行股份有限公司长春南大街支行、公司所属全资子公司长岭中电投第二风力发电有限公司与中国工商银行股份有限公司长春南大街支行并连同保荐人国信证券分别签署了《募集资金三方监管协议》，开立募集资金专项账户，用于存放本次非公开发行A股股票的募集资金。</w:t>
      </w:r>
    </w:p>
    <w:p w14:paraId="24516F41">
      <w:pPr>
        <w:pStyle w:val="6"/>
        <w:autoSpaceDE/>
        <w:autoSpaceDN/>
        <w:adjustRightInd w:val="0"/>
        <w:snapToGrid w:val="0"/>
        <w:spacing w:line="600" w:lineRule="exact"/>
        <w:ind w:left="102" w:right="210" w:firstLine="561"/>
        <w:jc w:val="both"/>
        <w:rPr>
          <w:rFonts w:hint="eastAsia"/>
          <w:sz w:val="28"/>
          <w:szCs w:val="28"/>
        </w:rPr>
      </w:pPr>
      <w:r>
        <w:rPr>
          <w:rFonts w:hint="eastAsia"/>
          <w:sz w:val="28"/>
          <w:szCs w:val="28"/>
        </w:rPr>
        <w:t>上述监管协议与《募集资金专户存储三方监管协议(范本)》不存在重大差异，《募集资金三方监管协议》的履行情况不存在问题。</w:t>
      </w:r>
    </w:p>
    <w:p w14:paraId="6325C6A2">
      <w:pPr>
        <w:pStyle w:val="4"/>
        <w:autoSpaceDE/>
        <w:autoSpaceDN/>
        <w:adjustRightInd w:val="0"/>
        <w:snapToGrid w:val="0"/>
        <w:spacing w:line="600" w:lineRule="exact"/>
        <w:ind w:left="663" w:right="211"/>
        <w:jc w:val="both"/>
        <w:rPr>
          <w:rFonts w:hint="eastAsia"/>
          <w:sz w:val="28"/>
          <w:szCs w:val="28"/>
        </w:rPr>
      </w:pPr>
      <w:r>
        <w:rPr>
          <w:rFonts w:hint="eastAsia"/>
          <w:sz w:val="28"/>
          <w:szCs w:val="28"/>
          <w:lang w:val="en-US"/>
        </w:rPr>
        <w:t>三、</w:t>
      </w:r>
      <w:r>
        <w:rPr>
          <w:sz w:val="28"/>
          <w:szCs w:val="28"/>
        </w:rPr>
        <w:t>本年度募集资金的实际使用情况</w:t>
      </w:r>
    </w:p>
    <w:p w14:paraId="3B4233A1">
      <w:pPr>
        <w:pStyle w:val="6"/>
        <w:autoSpaceDE/>
        <w:autoSpaceDN/>
        <w:adjustRightInd w:val="0"/>
        <w:snapToGrid w:val="0"/>
        <w:spacing w:line="600" w:lineRule="exact"/>
        <w:ind w:left="663"/>
        <w:rPr>
          <w:rFonts w:hint="eastAsia"/>
          <w:sz w:val="28"/>
          <w:szCs w:val="28"/>
        </w:rPr>
      </w:pPr>
      <w:r>
        <w:rPr>
          <w:rFonts w:hint="eastAsia"/>
          <w:sz w:val="28"/>
          <w:szCs w:val="28"/>
        </w:rPr>
        <w:t>（1）募集资金实际使用情况</w:t>
      </w:r>
    </w:p>
    <w:p w14:paraId="75C38E36">
      <w:pPr>
        <w:pStyle w:val="6"/>
        <w:autoSpaceDE/>
        <w:autoSpaceDN/>
        <w:adjustRightInd w:val="0"/>
        <w:snapToGrid w:val="0"/>
        <w:spacing w:line="600" w:lineRule="exact"/>
        <w:ind w:left="663"/>
        <w:rPr>
          <w:rFonts w:hint="eastAsia"/>
          <w:sz w:val="28"/>
          <w:szCs w:val="28"/>
        </w:rPr>
      </w:pPr>
      <w:r>
        <w:rPr>
          <w:sz w:val="28"/>
          <w:szCs w:val="28"/>
        </w:rPr>
        <w:t>本年度募集资金的实际使用情况参见“募集资金使用情况对照表”</w:t>
      </w:r>
    </w:p>
    <w:p w14:paraId="6A33AEF1">
      <w:pPr>
        <w:pStyle w:val="6"/>
        <w:autoSpaceDE/>
        <w:autoSpaceDN/>
        <w:adjustRightInd w:val="0"/>
        <w:snapToGrid w:val="0"/>
        <w:spacing w:line="600" w:lineRule="exact"/>
        <w:ind w:left="0"/>
        <w:rPr>
          <w:rFonts w:hint="eastAsia"/>
          <w:sz w:val="28"/>
          <w:szCs w:val="28"/>
        </w:rPr>
      </w:pPr>
      <w:r>
        <w:rPr>
          <w:sz w:val="28"/>
          <w:szCs w:val="28"/>
        </w:rPr>
        <w:t>（附表1）。</w:t>
      </w:r>
    </w:p>
    <w:p w14:paraId="5BCB412B">
      <w:pPr>
        <w:pStyle w:val="6"/>
        <w:autoSpaceDE/>
        <w:autoSpaceDN/>
        <w:adjustRightInd w:val="0"/>
        <w:snapToGrid w:val="0"/>
        <w:spacing w:line="600" w:lineRule="exact"/>
        <w:ind w:left="663"/>
        <w:rPr>
          <w:rFonts w:hint="eastAsia"/>
          <w:sz w:val="28"/>
          <w:szCs w:val="28"/>
        </w:rPr>
      </w:pPr>
      <w:r>
        <w:rPr>
          <w:sz w:val="28"/>
          <w:szCs w:val="28"/>
        </w:rPr>
        <w:t>本公司募集资金投资项目未出现异常情况。</w:t>
      </w:r>
    </w:p>
    <w:p w14:paraId="1F9004DC">
      <w:pPr>
        <w:pStyle w:val="6"/>
        <w:autoSpaceDE/>
        <w:autoSpaceDN/>
        <w:adjustRightInd w:val="0"/>
        <w:snapToGrid w:val="0"/>
        <w:spacing w:line="600" w:lineRule="exact"/>
        <w:ind w:left="663"/>
        <w:rPr>
          <w:rFonts w:hint="eastAsia"/>
          <w:sz w:val="28"/>
          <w:szCs w:val="28"/>
        </w:rPr>
      </w:pPr>
      <w:r>
        <w:rPr>
          <w:sz w:val="28"/>
          <w:szCs w:val="28"/>
        </w:rPr>
        <w:t>本公司不存在募集资金投资项目无法单独核算效益的情况。</w:t>
      </w:r>
    </w:p>
    <w:p w14:paraId="73173786">
      <w:pPr>
        <w:pStyle w:val="6"/>
        <w:autoSpaceDE/>
        <w:autoSpaceDN/>
        <w:adjustRightInd w:val="0"/>
        <w:snapToGrid w:val="0"/>
        <w:spacing w:line="600" w:lineRule="exact"/>
        <w:ind w:left="663"/>
        <w:rPr>
          <w:rFonts w:hint="eastAsia"/>
          <w:sz w:val="28"/>
          <w:szCs w:val="28"/>
        </w:rPr>
      </w:pPr>
      <w:r>
        <w:rPr>
          <w:rFonts w:hint="eastAsia"/>
          <w:sz w:val="28"/>
          <w:szCs w:val="28"/>
        </w:rPr>
        <w:t>（2）募集资金投资项目的实施地点、实施方式变更情况</w:t>
      </w:r>
    </w:p>
    <w:p w14:paraId="5CB9F415">
      <w:pPr>
        <w:pStyle w:val="6"/>
        <w:autoSpaceDE/>
        <w:autoSpaceDN/>
        <w:adjustRightInd w:val="0"/>
        <w:snapToGrid w:val="0"/>
        <w:spacing w:line="600" w:lineRule="exact"/>
        <w:ind w:left="663"/>
        <w:rPr>
          <w:rFonts w:hint="eastAsia"/>
          <w:sz w:val="28"/>
          <w:szCs w:val="28"/>
        </w:rPr>
      </w:pPr>
      <w:r>
        <w:rPr>
          <w:rFonts w:hint="eastAsia"/>
          <w:sz w:val="28"/>
          <w:szCs w:val="28"/>
        </w:rPr>
        <w:t>不适用。</w:t>
      </w:r>
    </w:p>
    <w:p w14:paraId="64D5B2C0">
      <w:pPr>
        <w:pStyle w:val="6"/>
        <w:autoSpaceDE/>
        <w:autoSpaceDN/>
        <w:adjustRightInd w:val="0"/>
        <w:snapToGrid w:val="0"/>
        <w:spacing w:line="600" w:lineRule="exact"/>
        <w:ind w:left="663"/>
        <w:rPr>
          <w:rFonts w:hint="eastAsia"/>
          <w:sz w:val="28"/>
          <w:szCs w:val="28"/>
        </w:rPr>
      </w:pPr>
      <w:r>
        <w:rPr>
          <w:rFonts w:hint="eastAsia"/>
          <w:sz w:val="28"/>
          <w:szCs w:val="28"/>
        </w:rPr>
        <w:t>（3）募集资金投资项目预先投入及置换情况</w:t>
      </w:r>
    </w:p>
    <w:p w14:paraId="753769E1">
      <w:pPr>
        <w:pStyle w:val="6"/>
        <w:autoSpaceDE/>
        <w:autoSpaceDN/>
        <w:adjustRightInd w:val="0"/>
        <w:snapToGrid w:val="0"/>
        <w:spacing w:line="600" w:lineRule="exact"/>
        <w:ind w:left="0" w:firstLine="840" w:firstLineChars="300"/>
        <w:jc w:val="both"/>
        <w:rPr>
          <w:rFonts w:hint="eastAsia"/>
          <w:sz w:val="28"/>
          <w:szCs w:val="28"/>
        </w:rPr>
      </w:pPr>
      <w:r>
        <w:rPr>
          <w:rFonts w:hint="eastAsia"/>
          <w:sz w:val="28"/>
          <w:szCs w:val="28"/>
        </w:rPr>
        <w:t>公司前期预先自筹资金投入额185,231.38万元。公司于2016年12月26日召开第七届董事会第七次会议审议通过了《关于使用募集资金置换预先已投入募投项目自筹资金的议案》，同意公司使用募集资金185,230.38万元置换预先已投入募集资金投资项目的自筹资金。</w:t>
      </w:r>
    </w:p>
    <w:p w14:paraId="69E5DFC9">
      <w:pPr>
        <w:pStyle w:val="6"/>
        <w:autoSpaceDE/>
        <w:autoSpaceDN/>
        <w:adjustRightInd w:val="0"/>
        <w:snapToGrid w:val="0"/>
        <w:spacing w:line="600" w:lineRule="exact"/>
        <w:ind w:left="663"/>
        <w:rPr>
          <w:rFonts w:hint="eastAsia"/>
          <w:sz w:val="28"/>
          <w:szCs w:val="28"/>
        </w:rPr>
      </w:pPr>
      <w:r>
        <w:rPr>
          <w:rFonts w:hint="eastAsia"/>
          <w:sz w:val="28"/>
          <w:szCs w:val="28"/>
        </w:rPr>
        <w:t>（4）用闲置募集资金暂时补充流动资金情况</w:t>
      </w:r>
    </w:p>
    <w:p w14:paraId="32C71662">
      <w:pPr>
        <w:pStyle w:val="6"/>
        <w:autoSpaceDE/>
        <w:autoSpaceDN/>
        <w:adjustRightInd w:val="0"/>
        <w:snapToGrid w:val="0"/>
        <w:spacing w:line="600" w:lineRule="exact"/>
        <w:ind w:left="0" w:firstLine="840" w:firstLineChars="300"/>
        <w:jc w:val="both"/>
        <w:rPr>
          <w:rFonts w:hint="eastAsia"/>
          <w:sz w:val="28"/>
          <w:szCs w:val="28"/>
        </w:rPr>
      </w:pPr>
      <w:r>
        <w:rPr>
          <w:rFonts w:hint="eastAsia"/>
          <w:sz w:val="28"/>
          <w:szCs w:val="28"/>
        </w:rPr>
        <w:t>公司于2025年4月25日召开第九届董事会第三十一次会议审议通过了《关于使用闲置募集资金暂时性补充流动资金的议案》，同意使用不超过10,700万元的闲置募集资金暂时补充流动资金，使用期限于本次董事会审议批准之日起不超过12个月。截至2025年6月30日，公司使用10,493.80万元闲置募集资金暂时补充流动资金。</w:t>
      </w:r>
    </w:p>
    <w:p w14:paraId="1AB28AD1">
      <w:pPr>
        <w:pStyle w:val="6"/>
        <w:autoSpaceDE/>
        <w:autoSpaceDN/>
        <w:adjustRightInd w:val="0"/>
        <w:snapToGrid w:val="0"/>
        <w:spacing w:line="600" w:lineRule="exact"/>
        <w:ind w:left="663"/>
        <w:rPr>
          <w:rFonts w:hint="eastAsia"/>
          <w:sz w:val="28"/>
          <w:szCs w:val="28"/>
        </w:rPr>
      </w:pPr>
      <w:r>
        <w:rPr>
          <w:rFonts w:hint="eastAsia"/>
          <w:sz w:val="28"/>
          <w:szCs w:val="28"/>
        </w:rPr>
        <w:t>（5）闲置募集资金进行现金管理情况</w:t>
      </w:r>
    </w:p>
    <w:p w14:paraId="4E8425E7">
      <w:pPr>
        <w:pStyle w:val="6"/>
        <w:autoSpaceDE/>
        <w:autoSpaceDN/>
        <w:adjustRightInd w:val="0"/>
        <w:snapToGrid w:val="0"/>
        <w:spacing w:line="600" w:lineRule="exact"/>
        <w:ind w:left="663"/>
        <w:jc w:val="both"/>
        <w:rPr>
          <w:rFonts w:hint="eastAsia"/>
          <w:sz w:val="28"/>
          <w:szCs w:val="28"/>
        </w:rPr>
      </w:pPr>
      <w:r>
        <w:rPr>
          <w:rFonts w:hint="eastAsia"/>
          <w:sz w:val="28"/>
          <w:szCs w:val="28"/>
        </w:rPr>
        <w:t>不适用。</w:t>
      </w:r>
    </w:p>
    <w:p w14:paraId="3EAEEEAD">
      <w:pPr>
        <w:pStyle w:val="6"/>
        <w:autoSpaceDE/>
        <w:autoSpaceDN/>
        <w:adjustRightInd w:val="0"/>
        <w:snapToGrid w:val="0"/>
        <w:spacing w:line="600" w:lineRule="exact"/>
        <w:ind w:left="663"/>
        <w:rPr>
          <w:rFonts w:hint="eastAsia"/>
          <w:sz w:val="28"/>
          <w:szCs w:val="28"/>
        </w:rPr>
      </w:pPr>
      <w:r>
        <w:rPr>
          <w:rFonts w:hint="eastAsia"/>
          <w:sz w:val="28"/>
          <w:szCs w:val="28"/>
        </w:rPr>
        <w:t>（6）节余募集资金使用情况</w:t>
      </w:r>
    </w:p>
    <w:p w14:paraId="580741EE">
      <w:pPr>
        <w:pStyle w:val="6"/>
        <w:autoSpaceDE/>
        <w:autoSpaceDN/>
        <w:adjustRightInd w:val="0"/>
        <w:snapToGrid w:val="0"/>
        <w:spacing w:line="600" w:lineRule="exact"/>
        <w:ind w:left="0" w:firstLine="840" w:firstLineChars="300"/>
        <w:jc w:val="both"/>
        <w:rPr>
          <w:rFonts w:hint="eastAsia"/>
          <w:sz w:val="28"/>
          <w:szCs w:val="28"/>
        </w:rPr>
      </w:pPr>
      <w:r>
        <w:rPr>
          <w:rFonts w:hint="eastAsia"/>
          <w:sz w:val="28"/>
          <w:szCs w:val="28"/>
        </w:rPr>
        <w:t>公司于2025年4月25日召开第九届董事会第三十一次会议审议通过了《关于将节余募集资金永久性补充流动资金的议案》，同意使用不超过9,000万元（实际节余资金以永久性补流实施当日募集资金专户余额为准）的节余募集资金永久补充流动资金。截至2025年6月30日，公司使用8,833.60万元节余募集资金永久性补充流动资金。</w:t>
      </w:r>
    </w:p>
    <w:p w14:paraId="2979348F">
      <w:pPr>
        <w:pStyle w:val="6"/>
        <w:autoSpaceDE/>
        <w:autoSpaceDN/>
        <w:adjustRightInd w:val="0"/>
        <w:snapToGrid w:val="0"/>
        <w:spacing w:line="600" w:lineRule="exact"/>
        <w:ind w:left="663"/>
        <w:rPr>
          <w:rFonts w:hint="eastAsia"/>
          <w:sz w:val="28"/>
          <w:szCs w:val="28"/>
        </w:rPr>
      </w:pPr>
      <w:r>
        <w:rPr>
          <w:rFonts w:hint="eastAsia"/>
          <w:sz w:val="28"/>
          <w:szCs w:val="28"/>
        </w:rPr>
        <w:t>（7）超募资金使用情况</w:t>
      </w:r>
    </w:p>
    <w:p w14:paraId="29E21769">
      <w:pPr>
        <w:pStyle w:val="6"/>
        <w:autoSpaceDE/>
        <w:autoSpaceDN/>
        <w:adjustRightInd w:val="0"/>
        <w:snapToGrid w:val="0"/>
        <w:spacing w:line="600" w:lineRule="exact"/>
        <w:ind w:left="663"/>
        <w:rPr>
          <w:rFonts w:hint="eastAsia"/>
          <w:sz w:val="28"/>
          <w:szCs w:val="28"/>
        </w:rPr>
      </w:pPr>
      <w:r>
        <w:rPr>
          <w:rFonts w:hint="eastAsia"/>
          <w:sz w:val="28"/>
          <w:szCs w:val="28"/>
        </w:rPr>
        <w:t>不适用。</w:t>
      </w:r>
    </w:p>
    <w:p w14:paraId="61A8D93B">
      <w:pPr>
        <w:pStyle w:val="6"/>
        <w:autoSpaceDE/>
        <w:autoSpaceDN/>
        <w:adjustRightInd w:val="0"/>
        <w:snapToGrid w:val="0"/>
        <w:spacing w:line="600" w:lineRule="exact"/>
        <w:ind w:left="663"/>
        <w:rPr>
          <w:rFonts w:hint="eastAsia"/>
          <w:sz w:val="28"/>
          <w:szCs w:val="28"/>
        </w:rPr>
      </w:pPr>
      <w:r>
        <w:rPr>
          <w:rFonts w:hint="eastAsia"/>
          <w:sz w:val="28"/>
          <w:szCs w:val="28"/>
        </w:rPr>
        <w:t>（8）尚未使用的募集资金用途及去向</w:t>
      </w:r>
    </w:p>
    <w:p w14:paraId="25A28E38">
      <w:pPr>
        <w:pStyle w:val="6"/>
        <w:autoSpaceDE/>
        <w:autoSpaceDN/>
        <w:adjustRightInd w:val="0"/>
        <w:snapToGrid w:val="0"/>
        <w:spacing w:line="600" w:lineRule="exact"/>
        <w:ind w:left="0" w:firstLine="560" w:firstLineChars="200"/>
        <w:jc w:val="both"/>
        <w:rPr>
          <w:rFonts w:hint="eastAsia"/>
          <w:sz w:val="28"/>
          <w:szCs w:val="28"/>
        </w:rPr>
      </w:pPr>
      <w:r>
        <w:rPr>
          <w:rFonts w:hint="eastAsia"/>
          <w:sz w:val="28"/>
          <w:szCs w:val="28"/>
        </w:rPr>
        <w:t>截至2025年6月30日，尚未使用的募集资金中，10,493.80万元用于暂时补充流动资金，其余用于项目建设。募集资金专户余额合计157.02万元，公司严格按照《募集资金管理办法》对募集资金进行专户管理，尚未使用的募集资金，均存放于银行监管账户。</w:t>
      </w:r>
    </w:p>
    <w:p w14:paraId="6836AF64">
      <w:pPr>
        <w:pStyle w:val="6"/>
        <w:autoSpaceDE/>
        <w:autoSpaceDN/>
        <w:adjustRightInd w:val="0"/>
        <w:snapToGrid w:val="0"/>
        <w:spacing w:line="600" w:lineRule="exact"/>
        <w:ind w:left="663"/>
        <w:rPr>
          <w:rFonts w:hint="eastAsia"/>
          <w:sz w:val="28"/>
          <w:szCs w:val="28"/>
        </w:rPr>
      </w:pPr>
      <w:r>
        <w:rPr>
          <w:rFonts w:hint="eastAsia"/>
          <w:sz w:val="28"/>
          <w:szCs w:val="28"/>
        </w:rPr>
        <w:t>（9）募集资金使用的其他情况</w:t>
      </w:r>
    </w:p>
    <w:p w14:paraId="14F3803F">
      <w:pPr>
        <w:pStyle w:val="6"/>
        <w:autoSpaceDE/>
        <w:autoSpaceDN/>
        <w:adjustRightInd w:val="0"/>
        <w:snapToGrid w:val="0"/>
        <w:spacing w:line="600" w:lineRule="exact"/>
        <w:ind w:left="663" w:right="69"/>
        <w:rPr>
          <w:rFonts w:hint="eastAsia"/>
          <w:sz w:val="28"/>
          <w:szCs w:val="28"/>
        </w:rPr>
      </w:pPr>
      <w:r>
        <w:rPr>
          <w:rFonts w:hint="eastAsia"/>
          <w:sz w:val="28"/>
          <w:szCs w:val="28"/>
        </w:rPr>
        <w:t>不适用。</w:t>
      </w:r>
    </w:p>
    <w:p w14:paraId="5C8BC076">
      <w:pPr>
        <w:pStyle w:val="4"/>
        <w:autoSpaceDE/>
        <w:autoSpaceDN/>
        <w:adjustRightInd w:val="0"/>
        <w:snapToGrid w:val="0"/>
        <w:spacing w:line="600" w:lineRule="exact"/>
        <w:ind w:left="663"/>
        <w:rPr>
          <w:rFonts w:hint="eastAsia"/>
          <w:sz w:val="28"/>
          <w:szCs w:val="28"/>
        </w:rPr>
      </w:pPr>
      <w:r>
        <w:rPr>
          <w:sz w:val="28"/>
          <w:szCs w:val="28"/>
        </w:rPr>
        <w:t>四、变更募集资金投资项目的资金使用情况</w:t>
      </w:r>
    </w:p>
    <w:p w14:paraId="786344F5">
      <w:pPr>
        <w:pStyle w:val="4"/>
        <w:autoSpaceDE/>
        <w:autoSpaceDN/>
        <w:adjustRightInd w:val="0"/>
        <w:snapToGrid w:val="0"/>
        <w:spacing w:line="600" w:lineRule="exact"/>
        <w:ind w:left="663" w:right="68"/>
        <w:rPr>
          <w:rFonts w:hint="eastAsia"/>
          <w:b w:val="0"/>
          <w:sz w:val="28"/>
          <w:szCs w:val="28"/>
        </w:rPr>
      </w:pPr>
      <w:r>
        <w:rPr>
          <w:b w:val="0"/>
          <w:spacing w:val="12"/>
          <w:sz w:val="28"/>
          <w:szCs w:val="28"/>
        </w:rPr>
        <w:t>公司不存在变更募集资金投资项目的情况。</w:t>
      </w:r>
    </w:p>
    <w:p w14:paraId="13595FE5">
      <w:pPr>
        <w:pStyle w:val="4"/>
        <w:autoSpaceDE/>
        <w:autoSpaceDN/>
        <w:adjustRightInd w:val="0"/>
        <w:snapToGrid w:val="0"/>
        <w:spacing w:line="600" w:lineRule="exact"/>
        <w:ind w:left="663" w:right="69"/>
        <w:rPr>
          <w:rFonts w:hint="eastAsia"/>
          <w:sz w:val="28"/>
          <w:szCs w:val="28"/>
        </w:rPr>
      </w:pPr>
      <w:r>
        <w:rPr>
          <w:sz w:val="28"/>
          <w:szCs w:val="28"/>
        </w:rPr>
        <w:t>五、募集资金使用及披露中存在的问题</w:t>
      </w:r>
    </w:p>
    <w:p w14:paraId="66C09574">
      <w:pPr>
        <w:adjustRightInd w:val="0"/>
        <w:snapToGrid w:val="0"/>
        <w:spacing w:line="600" w:lineRule="exact"/>
        <w:ind w:left="666" w:right="69"/>
        <w:rPr>
          <w:rFonts w:hint="eastAsia"/>
          <w:sz w:val="28"/>
          <w:szCs w:val="28"/>
        </w:rPr>
      </w:pPr>
      <w:r>
        <w:rPr>
          <w:spacing w:val="12"/>
          <w:sz w:val="28"/>
          <w:szCs w:val="28"/>
        </w:rPr>
        <w:t>报告期内，本公司募集资金使用及披露不存在重大问题。</w:t>
      </w:r>
    </w:p>
    <w:p w14:paraId="05326500">
      <w:pPr>
        <w:pStyle w:val="6"/>
        <w:adjustRightInd w:val="0"/>
        <w:snapToGrid w:val="0"/>
        <w:spacing w:before="2" w:line="600" w:lineRule="exact"/>
        <w:ind w:left="99" w:leftChars="45" w:right="69" w:firstLine="560" w:firstLineChars="200"/>
        <w:rPr>
          <w:rFonts w:hint="eastAsia"/>
          <w:sz w:val="28"/>
          <w:szCs w:val="28"/>
        </w:rPr>
      </w:pPr>
    </w:p>
    <w:p w14:paraId="79596D04">
      <w:pPr>
        <w:pStyle w:val="6"/>
        <w:adjustRightInd w:val="0"/>
        <w:snapToGrid w:val="0"/>
        <w:spacing w:before="2" w:line="600" w:lineRule="exact"/>
        <w:ind w:left="99" w:leftChars="45" w:right="69" w:firstLine="560" w:firstLineChars="200"/>
        <w:rPr>
          <w:rFonts w:hint="eastAsia"/>
          <w:sz w:val="28"/>
          <w:szCs w:val="28"/>
        </w:rPr>
      </w:pPr>
      <w:r>
        <w:rPr>
          <w:sz w:val="28"/>
          <w:szCs w:val="28"/>
        </w:rPr>
        <w:t>附表1：2016年非公开发行股票募集资金使用情况对照表</w:t>
      </w:r>
      <w:r>
        <w:rPr>
          <w:rFonts w:hint="eastAsia"/>
          <w:sz w:val="28"/>
          <w:szCs w:val="28"/>
        </w:rPr>
        <w:t>（2025年半年度）</w:t>
      </w:r>
    </w:p>
    <w:p w14:paraId="76B81F3F">
      <w:pPr>
        <w:pStyle w:val="6"/>
        <w:spacing w:before="2" w:line="560" w:lineRule="exact"/>
        <w:ind w:left="99" w:leftChars="45" w:right="69" w:firstLine="560" w:firstLineChars="200"/>
        <w:rPr>
          <w:rFonts w:hint="eastAsia"/>
          <w:sz w:val="28"/>
          <w:szCs w:val="28"/>
        </w:rPr>
      </w:pPr>
    </w:p>
    <w:p w14:paraId="1093AA34">
      <w:pPr>
        <w:pStyle w:val="6"/>
        <w:spacing w:before="2" w:line="560" w:lineRule="exact"/>
        <w:ind w:left="99" w:leftChars="45" w:right="69" w:firstLine="560" w:firstLineChars="200"/>
        <w:jc w:val="right"/>
        <w:rPr>
          <w:rFonts w:hint="eastAsia"/>
          <w:sz w:val="28"/>
          <w:szCs w:val="28"/>
          <w:lang w:val="en-US"/>
        </w:rPr>
      </w:pPr>
      <w:r>
        <w:rPr>
          <w:sz w:val="28"/>
          <w:szCs w:val="28"/>
          <w:lang w:val="en-US"/>
        </w:rPr>
        <w:t>吉林电力股份有限公司董事会</w:t>
      </w:r>
    </w:p>
    <w:p w14:paraId="0BF5392D">
      <w:pPr>
        <w:pStyle w:val="6"/>
        <w:spacing w:before="2" w:line="560" w:lineRule="exact"/>
        <w:ind w:left="99" w:leftChars="45" w:right="69" w:firstLine="560" w:firstLineChars="200"/>
        <w:jc w:val="center"/>
        <w:rPr>
          <w:rFonts w:hint="eastAsia"/>
          <w:sz w:val="28"/>
          <w:szCs w:val="28"/>
          <w:lang w:val="en-US"/>
        </w:rPr>
      </w:pPr>
      <w:r>
        <w:rPr>
          <w:rFonts w:hint="eastAsia"/>
          <w:sz w:val="28"/>
          <w:szCs w:val="28"/>
          <w:lang w:val="en-US"/>
        </w:rPr>
        <w:t xml:space="preserve">                                  </w:t>
      </w:r>
      <w:r>
        <w:rPr>
          <w:sz w:val="28"/>
          <w:szCs w:val="28"/>
        </w:rPr>
        <w:t>二</w:t>
      </w:r>
      <w:r>
        <w:rPr>
          <w:sz w:val="28"/>
          <w:szCs w:val="28"/>
          <w:lang w:val="en-US"/>
        </w:rPr>
        <w:t>○</w:t>
      </w:r>
      <w:r>
        <w:rPr>
          <w:sz w:val="28"/>
          <w:szCs w:val="28"/>
        </w:rPr>
        <w:t>二</w:t>
      </w:r>
      <w:r>
        <w:rPr>
          <w:rFonts w:hint="eastAsia"/>
          <w:sz w:val="28"/>
          <w:szCs w:val="28"/>
        </w:rPr>
        <w:t>五</w:t>
      </w:r>
      <w:r>
        <w:rPr>
          <w:sz w:val="28"/>
          <w:szCs w:val="28"/>
        </w:rPr>
        <w:t>年</w:t>
      </w:r>
      <w:r>
        <w:rPr>
          <w:rFonts w:hint="eastAsia"/>
          <w:sz w:val="28"/>
          <w:szCs w:val="28"/>
          <w:lang w:val="en-US"/>
        </w:rPr>
        <w:t>八</w:t>
      </w:r>
      <w:r>
        <w:rPr>
          <w:sz w:val="28"/>
          <w:szCs w:val="28"/>
        </w:rPr>
        <w:t>月</w:t>
      </w:r>
      <w:r>
        <w:rPr>
          <w:rFonts w:hint="eastAsia"/>
          <w:sz w:val="28"/>
          <w:szCs w:val="28"/>
        </w:rPr>
        <w:t>二十</w:t>
      </w:r>
      <w:r>
        <w:rPr>
          <w:sz w:val="28"/>
          <w:szCs w:val="28"/>
        </w:rPr>
        <w:t>日</w:t>
      </w:r>
    </w:p>
    <w:p w14:paraId="599F343C">
      <w:pPr>
        <w:pStyle w:val="6"/>
        <w:spacing w:before="2" w:line="560" w:lineRule="exact"/>
        <w:ind w:left="99" w:leftChars="45" w:right="69" w:firstLine="560" w:firstLineChars="200"/>
        <w:rPr>
          <w:rFonts w:hint="eastAsia"/>
          <w:sz w:val="28"/>
          <w:szCs w:val="28"/>
          <w:lang w:val="en-US"/>
        </w:rPr>
      </w:pPr>
    </w:p>
    <w:p w14:paraId="7047A57C">
      <w:pPr>
        <w:spacing w:line="560" w:lineRule="exact"/>
        <w:rPr>
          <w:rFonts w:hint="eastAsia"/>
          <w:sz w:val="28"/>
          <w:szCs w:val="28"/>
          <w:lang w:val="en-US"/>
        </w:rPr>
        <w:sectPr>
          <w:footerReference r:id="rId3" w:type="default"/>
          <w:pgSz w:w="12240" w:h="15840"/>
          <w:pgMar w:top="1500" w:right="1540" w:bottom="900" w:left="1700" w:header="0" w:footer="717" w:gutter="0"/>
          <w:cols w:space="720" w:num="1"/>
        </w:sectPr>
      </w:pPr>
    </w:p>
    <w:p w14:paraId="651CD9F8">
      <w:pPr>
        <w:pStyle w:val="6"/>
        <w:spacing w:before="76"/>
        <w:ind w:left="785"/>
        <w:rPr>
          <w:rFonts w:hint="eastAsia"/>
          <w:lang w:val="en-US"/>
        </w:rPr>
      </w:pPr>
      <w:r>
        <w:t>附表</w:t>
      </w:r>
      <w:r>
        <w:rPr>
          <w:rFonts w:hint="eastAsia"/>
          <w:lang w:val="en-US"/>
        </w:rPr>
        <w:t>1：</w:t>
      </w:r>
    </w:p>
    <w:p w14:paraId="1EE2EA05">
      <w:pPr>
        <w:pStyle w:val="6"/>
        <w:spacing w:before="4"/>
        <w:ind w:left="0"/>
        <w:rPr>
          <w:rFonts w:hint="eastAsia"/>
          <w:sz w:val="8"/>
          <w:lang w:val="en-US"/>
        </w:rPr>
      </w:pPr>
    </w:p>
    <w:p w14:paraId="02387D04">
      <w:pPr>
        <w:spacing w:before="76"/>
        <w:ind w:right="233"/>
        <w:jc w:val="center"/>
        <w:rPr>
          <w:rFonts w:hint="eastAsia"/>
          <w:b/>
          <w:sz w:val="21"/>
        </w:rPr>
      </w:pPr>
      <w:r>
        <w:rPr>
          <w:b/>
          <w:sz w:val="21"/>
        </w:rPr>
        <w:t>2016</w:t>
      </w:r>
      <w:r>
        <w:rPr>
          <w:rFonts w:hint="eastAsia"/>
          <w:b/>
          <w:sz w:val="21"/>
        </w:rPr>
        <w:t>年非公开发行股票募集资金使用情况对照表</w:t>
      </w:r>
    </w:p>
    <w:p w14:paraId="4C20A299">
      <w:pPr>
        <w:pStyle w:val="6"/>
        <w:spacing w:before="4"/>
        <w:ind w:left="0"/>
        <w:rPr>
          <w:rFonts w:hint="eastAsia"/>
          <w:b/>
          <w:sz w:val="16"/>
        </w:rPr>
      </w:pPr>
    </w:p>
    <w:p w14:paraId="1B0A9E81">
      <w:pPr>
        <w:spacing w:before="1"/>
        <w:ind w:right="230"/>
        <w:jc w:val="center"/>
        <w:rPr>
          <w:rFonts w:hint="eastAsia"/>
          <w:b/>
          <w:sz w:val="20"/>
        </w:rPr>
      </w:pPr>
      <w:r>
        <w:rPr>
          <w:b/>
          <w:sz w:val="20"/>
        </w:rPr>
        <w:t>202</w:t>
      </w:r>
      <w:r>
        <w:rPr>
          <w:rFonts w:hint="eastAsia"/>
          <w:b/>
          <w:sz w:val="20"/>
        </w:rPr>
        <w:t>5年半年度</w:t>
      </w:r>
    </w:p>
    <w:p w14:paraId="016F79F5">
      <w:pPr>
        <w:tabs>
          <w:tab w:val="left" w:pos="11360"/>
        </w:tabs>
        <w:spacing w:before="104"/>
        <w:ind w:right="219"/>
        <w:jc w:val="center"/>
        <w:rPr>
          <w:rFonts w:hint="eastAsia"/>
          <w:b/>
          <w:sz w:val="20"/>
        </w:rPr>
      </w:pPr>
      <w:r>
        <w:rPr>
          <w:rFonts w:hint="eastAsia"/>
          <w:b/>
          <w:sz w:val="20"/>
        </w:rPr>
        <w:t>编制单位</w:t>
      </w:r>
      <w:r>
        <w:rPr>
          <w:rFonts w:hint="eastAsia"/>
          <w:b/>
          <w:spacing w:val="-13"/>
          <w:sz w:val="20"/>
        </w:rPr>
        <w:t>：</w:t>
      </w:r>
      <w:r>
        <w:rPr>
          <w:rFonts w:hint="eastAsia"/>
          <w:b/>
          <w:sz w:val="20"/>
        </w:rPr>
        <w:t>吉林电</w:t>
      </w:r>
      <w:r>
        <w:rPr>
          <w:rFonts w:hint="eastAsia"/>
          <w:b/>
          <w:spacing w:val="-13"/>
          <w:sz w:val="20"/>
        </w:rPr>
        <w:t>力</w:t>
      </w:r>
      <w:r>
        <w:rPr>
          <w:rFonts w:hint="eastAsia"/>
          <w:b/>
          <w:sz w:val="20"/>
        </w:rPr>
        <w:t>股份</w:t>
      </w:r>
      <w:r>
        <w:rPr>
          <w:rFonts w:hint="eastAsia"/>
          <w:b/>
          <w:spacing w:val="-13"/>
          <w:sz w:val="20"/>
        </w:rPr>
        <w:t>有</w:t>
      </w:r>
      <w:r>
        <w:rPr>
          <w:rFonts w:hint="eastAsia"/>
          <w:b/>
          <w:sz w:val="20"/>
        </w:rPr>
        <w:t>限公司</w:t>
      </w:r>
      <w:r>
        <w:rPr>
          <w:b/>
          <w:sz w:val="20"/>
        </w:rPr>
        <w:tab/>
      </w:r>
      <w:r>
        <w:rPr>
          <w:rFonts w:hint="eastAsia"/>
          <w:b/>
          <w:sz w:val="20"/>
        </w:rPr>
        <w:t>金额单位</w:t>
      </w:r>
      <w:r>
        <w:rPr>
          <w:rFonts w:hint="eastAsia"/>
          <w:b/>
          <w:spacing w:val="-13"/>
          <w:sz w:val="20"/>
        </w:rPr>
        <w:t>：</w:t>
      </w:r>
      <w:r>
        <w:rPr>
          <w:rFonts w:hint="eastAsia"/>
          <w:b/>
          <w:sz w:val="20"/>
        </w:rPr>
        <w:t>人民币</w:t>
      </w:r>
      <w:r>
        <w:rPr>
          <w:rFonts w:hint="eastAsia"/>
          <w:b/>
          <w:spacing w:val="-13"/>
          <w:sz w:val="20"/>
        </w:rPr>
        <w:t>万</w:t>
      </w:r>
      <w:r>
        <w:rPr>
          <w:rFonts w:hint="eastAsia"/>
          <w:b/>
          <w:sz w:val="20"/>
        </w:rPr>
        <w:t>元</w:t>
      </w:r>
    </w:p>
    <w:p w14:paraId="2CA65D3C">
      <w:pPr>
        <w:pStyle w:val="6"/>
        <w:spacing w:before="12"/>
        <w:ind w:left="0"/>
        <w:rPr>
          <w:rFonts w:hint="eastAsia"/>
          <w:b/>
          <w:sz w:val="4"/>
        </w:rPr>
      </w:pPr>
    </w:p>
    <w:tbl>
      <w:tblPr>
        <w:tblStyle w:val="13"/>
        <w:tblW w:w="0" w:type="auto"/>
        <w:tblInd w:w="116"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309"/>
        <w:gridCol w:w="851"/>
        <w:gridCol w:w="1260"/>
        <w:gridCol w:w="1418"/>
        <w:gridCol w:w="1008"/>
        <w:gridCol w:w="1276"/>
        <w:gridCol w:w="1417"/>
        <w:gridCol w:w="1701"/>
        <w:gridCol w:w="1276"/>
        <w:gridCol w:w="850"/>
        <w:gridCol w:w="1215"/>
      </w:tblGrid>
      <w:tr w14:paraId="40625DB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5" w:hRule="atLeast"/>
        </w:trPr>
        <w:tc>
          <w:tcPr>
            <w:tcW w:w="3420" w:type="dxa"/>
            <w:gridSpan w:val="3"/>
          </w:tcPr>
          <w:p w14:paraId="0553873E">
            <w:pPr>
              <w:pStyle w:val="15"/>
              <w:spacing w:before="99"/>
              <w:ind w:left="112"/>
              <w:rPr>
                <w:rFonts w:hint="eastAsia" w:ascii="仿宋" w:hAnsi="仿宋" w:eastAsia="仿宋"/>
                <w:sz w:val="20"/>
              </w:rPr>
            </w:pPr>
            <w:r>
              <w:rPr>
                <w:rFonts w:ascii="仿宋" w:hAnsi="仿宋" w:eastAsia="仿宋"/>
                <w:sz w:val="20"/>
              </w:rPr>
              <w:t>募集资金总额</w:t>
            </w:r>
          </w:p>
        </w:tc>
        <w:tc>
          <w:tcPr>
            <w:tcW w:w="2426" w:type="dxa"/>
            <w:gridSpan w:val="2"/>
            <w:vAlign w:val="center"/>
          </w:tcPr>
          <w:p w14:paraId="7077F63A">
            <w:pPr>
              <w:pStyle w:val="15"/>
              <w:spacing w:before="111"/>
              <w:ind w:left="832"/>
              <w:jc w:val="right"/>
              <w:rPr>
                <w:rFonts w:hint="eastAsia" w:ascii="仿宋" w:hAnsi="仿宋" w:eastAsia="仿宋"/>
                <w:sz w:val="20"/>
              </w:rPr>
            </w:pPr>
            <w:r>
              <w:rPr>
                <w:rFonts w:ascii="仿宋" w:hAnsi="仿宋" w:eastAsia="仿宋"/>
                <w:sz w:val="20"/>
              </w:rPr>
              <w:t>383,993.00</w:t>
            </w:r>
          </w:p>
        </w:tc>
        <w:tc>
          <w:tcPr>
            <w:tcW w:w="5670" w:type="dxa"/>
            <w:gridSpan w:val="4"/>
          </w:tcPr>
          <w:p w14:paraId="452E0711">
            <w:pPr>
              <w:pStyle w:val="15"/>
              <w:spacing w:before="99"/>
              <w:ind w:left="116"/>
              <w:rPr>
                <w:rFonts w:hint="eastAsia" w:ascii="仿宋" w:hAnsi="仿宋" w:eastAsia="仿宋"/>
                <w:sz w:val="20"/>
              </w:rPr>
            </w:pPr>
            <w:r>
              <w:rPr>
                <w:rFonts w:ascii="仿宋" w:hAnsi="仿宋" w:eastAsia="仿宋"/>
                <w:sz w:val="20"/>
              </w:rPr>
              <w:t>本年度投入募集资金总额</w:t>
            </w:r>
          </w:p>
        </w:tc>
        <w:tc>
          <w:tcPr>
            <w:tcW w:w="2065" w:type="dxa"/>
            <w:gridSpan w:val="2"/>
            <w:vAlign w:val="center"/>
          </w:tcPr>
          <w:p w14:paraId="11D2004E">
            <w:pPr>
              <w:pStyle w:val="15"/>
              <w:spacing w:before="99"/>
              <w:ind w:left="665"/>
              <w:jc w:val="right"/>
              <w:rPr>
                <w:rFonts w:hint="eastAsia" w:ascii="仿宋" w:hAnsi="仿宋" w:eastAsia="仿宋"/>
                <w:sz w:val="20"/>
              </w:rPr>
            </w:pPr>
            <w:r>
              <w:rPr>
                <w:rFonts w:hint="eastAsia" w:ascii="仿宋" w:hAnsi="仿宋" w:eastAsia="仿宋"/>
                <w:sz w:val="20"/>
              </w:rPr>
              <w:t>274.15</w:t>
            </w:r>
          </w:p>
        </w:tc>
      </w:tr>
      <w:tr w14:paraId="5366AAA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1" w:hRule="atLeast"/>
        </w:trPr>
        <w:tc>
          <w:tcPr>
            <w:tcW w:w="3420" w:type="dxa"/>
            <w:gridSpan w:val="3"/>
          </w:tcPr>
          <w:p w14:paraId="18B31EB6">
            <w:pPr>
              <w:pStyle w:val="15"/>
              <w:spacing w:before="75"/>
              <w:ind w:left="112"/>
              <w:rPr>
                <w:rFonts w:hint="eastAsia" w:ascii="仿宋" w:hAnsi="仿宋" w:eastAsia="仿宋"/>
                <w:sz w:val="20"/>
              </w:rPr>
            </w:pPr>
            <w:r>
              <w:rPr>
                <w:rFonts w:ascii="仿宋" w:hAnsi="仿宋" w:eastAsia="仿宋"/>
                <w:sz w:val="20"/>
              </w:rPr>
              <w:t>报告期内变更用途的募集资金总额</w:t>
            </w:r>
          </w:p>
        </w:tc>
        <w:tc>
          <w:tcPr>
            <w:tcW w:w="2426" w:type="dxa"/>
            <w:gridSpan w:val="2"/>
            <w:vAlign w:val="center"/>
          </w:tcPr>
          <w:p w14:paraId="2AADFA0B">
            <w:pPr>
              <w:pStyle w:val="15"/>
              <w:jc w:val="right"/>
              <w:rPr>
                <w:rFonts w:hint="eastAsia" w:ascii="仿宋" w:hAnsi="仿宋" w:eastAsia="仿宋"/>
                <w:sz w:val="20"/>
              </w:rPr>
            </w:pPr>
            <w:r>
              <w:rPr>
                <w:rFonts w:hint="eastAsia" w:ascii="仿宋" w:hAnsi="仿宋" w:eastAsia="仿宋"/>
                <w:sz w:val="20"/>
              </w:rPr>
              <w:t>-</w:t>
            </w:r>
          </w:p>
        </w:tc>
        <w:tc>
          <w:tcPr>
            <w:tcW w:w="5670" w:type="dxa"/>
            <w:gridSpan w:val="4"/>
            <w:vMerge w:val="restart"/>
          </w:tcPr>
          <w:p w14:paraId="6F5E4E3C">
            <w:pPr>
              <w:pStyle w:val="15"/>
              <w:rPr>
                <w:rFonts w:hint="eastAsia" w:ascii="仿宋" w:hAnsi="仿宋" w:eastAsia="仿宋"/>
                <w:b/>
                <w:sz w:val="20"/>
              </w:rPr>
            </w:pPr>
          </w:p>
          <w:p w14:paraId="0FEC56A0">
            <w:pPr>
              <w:pStyle w:val="15"/>
              <w:spacing w:before="5"/>
              <w:rPr>
                <w:rFonts w:hint="eastAsia" w:ascii="仿宋" w:hAnsi="仿宋" w:eastAsia="仿宋"/>
                <w:b/>
              </w:rPr>
            </w:pPr>
          </w:p>
          <w:p w14:paraId="78C3F14B">
            <w:pPr>
              <w:pStyle w:val="15"/>
              <w:ind w:left="116"/>
              <w:rPr>
                <w:rFonts w:hint="eastAsia" w:ascii="仿宋" w:hAnsi="仿宋" w:eastAsia="仿宋"/>
                <w:sz w:val="20"/>
              </w:rPr>
            </w:pPr>
            <w:r>
              <w:rPr>
                <w:rFonts w:ascii="仿宋" w:hAnsi="仿宋" w:eastAsia="仿宋"/>
                <w:sz w:val="20"/>
              </w:rPr>
              <w:t>已累计投入募集资金总额</w:t>
            </w:r>
          </w:p>
        </w:tc>
        <w:tc>
          <w:tcPr>
            <w:tcW w:w="2065" w:type="dxa"/>
            <w:gridSpan w:val="2"/>
            <w:vMerge w:val="restart"/>
            <w:vAlign w:val="center"/>
          </w:tcPr>
          <w:p w14:paraId="100CBACB">
            <w:pPr>
              <w:pStyle w:val="15"/>
              <w:jc w:val="right"/>
              <w:rPr>
                <w:rFonts w:hint="eastAsia" w:ascii="仿宋" w:hAnsi="仿宋" w:eastAsia="仿宋"/>
                <w:sz w:val="20"/>
              </w:rPr>
            </w:pPr>
            <w:r>
              <w:rPr>
                <w:rFonts w:hint="eastAsia" w:ascii="仿宋" w:hAnsi="仿宋" w:eastAsia="仿宋"/>
                <w:sz w:val="20"/>
              </w:rPr>
              <w:t>359,986.67</w:t>
            </w:r>
          </w:p>
        </w:tc>
      </w:tr>
      <w:tr w14:paraId="082AE30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1" w:hRule="atLeast"/>
        </w:trPr>
        <w:tc>
          <w:tcPr>
            <w:tcW w:w="3420" w:type="dxa"/>
            <w:gridSpan w:val="3"/>
          </w:tcPr>
          <w:p w14:paraId="24ACB4C3">
            <w:pPr>
              <w:pStyle w:val="15"/>
              <w:spacing w:before="87"/>
              <w:ind w:left="112"/>
              <w:rPr>
                <w:rFonts w:hint="eastAsia" w:ascii="仿宋" w:hAnsi="仿宋" w:eastAsia="仿宋"/>
                <w:sz w:val="20"/>
              </w:rPr>
            </w:pPr>
            <w:r>
              <w:rPr>
                <w:rFonts w:ascii="仿宋" w:hAnsi="仿宋" w:eastAsia="仿宋"/>
                <w:sz w:val="20"/>
              </w:rPr>
              <w:t>累计变更用途的募集资金总额</w:t>
            </w:r>
          </w:p>
        </w:tc>
        <w:tc>
          <w:tcPr>
            <w:tcW w:w="2426" w:type="dxa"/>
            <w:gridSpan w:val="2"/>
            <w:vAlign w:val="center"/>
          </w:tcPr>
          <w:p w14:paraId="109F6141">
            <w:pPr>
              <w:pStyle w:val="15"/>
              <w:jc w:val="right"/>
              <w:rPr>
                <w:rFonts w:hint="eastAsia" w:ascii="仿宋" w:hAnsi="仿宋" w:eastAsia="仿宋"/>
                <w:sz w:val="20"/>
              </w:rPr>
            </w:pPr>
            <w:r>
              <w:rPr>
                <w:rFonts w:hint="eastAsia" w:ascii="仿宋" w:hAnsi="仿宋" w:eastAsia="仿宋"/>
                <w:sz w:val="20"/>
              </w:rPr>
              <w:t>-</w:t>
            </w:r>
          </w:p>
        </w:tc>
        <w:tc>
          <w:tcPr>
            <w:tcW w:w="5670" w:type="dxa"/>
            <w:gridSpan w:val="4"/>
            <w:vMerge w:val="continue"/>
            <w:tcBorders>
              <w:top w:val="nil"/>
            </w:tcBorders>
          </w:tcPr>
          <w:p w14:paraId="4D62A7DF">
            <w:pPr>
              <w:rPr>
                <w:rFonts w:hint="eastAsia"/>
                <w:sz w:val="2"/>
                <w:szCs w:val="2"/>
              </w:rPr>
            </w:pPr>
          </w:p>
        </w:tc>
        <w:tc>
          <w:tcPr>
            <w:tcW w:w="2065" w:type="dxa"/>
            <w:gridSpan w:val="2"/>
            <w:vMerge w:val="continue"/>
            <w:tcBorders>
              <w:top w:val="nil"/>
            </w:tcBorders>
          </w:tcPr>
          <w:p w14:paraId="5CCEE4C3">
            <w:pPr>
              <w:rPr>
                <w:rFonts w:hint="eastAsia"/>
                <w:sz w:val="2"/>
                <w:szCs w:val="2"/>
              </w:rPr>
            </w:pPr>
          </w:p>
        </w:tc>
      </w:tr>
      <w:tr w14:paraId="0B2C7DA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3" w:hRule="atLeast"/>
        </w:trPr>
        <w:tc>
          <w:tcPr>
            <w:tcW w:w="3420" w:type="dxa"/>
            <w:gridSpan w:val="3"/>
          </w:tcPr>
          <w:p w14:paraId="70539938">
            <w:pPr>
              <w:pStyle w:val="15"/>
              <w:spacing w:before="86"/>
              <w:ind w:left="112"/>
              <w:rPr>
                <w:rFonts w:hint="eastAsia" w:ascii="仿宋" w:hAnsi="仿宋" w:eastAsia="仿宋"/>
                <w:sz w:val="20"/>
              </w:rPr>
            </w:pPr>
            <w:r>
              <w:rPr>
                <w:rFonts w:ascii="仿宋" w:hAnsi="仿宋" w:eastAsia="仿宋"/>
                <w:sz w:val="20"/>
              </w:rPr>
              <w:t>累计变更用途的募集资金总额比例</w:t>
            </w:r>
          </w:p>
        </w:tc>
        <w:tc>
          <w:tcPr>
            <w:tcW w:w="2426" w:type="dxa"/>
            <w:gridSpan w:val="2"/>
            <w:vAlign w:val="center"/>
          </w:tcPr>
          <w:p w14:paraId="5229DCD9">
            <w:pPr>
              <w:pStyle w:val="15"/>
              <w:jc w:val="right"/>
              <w:rPr>
                <w:rFonts w:hint="eastAsia" w:ascii="仿宋" w:hAnsi="仿宋" w:eastAsia="仿宋"/>
                <w:sz w:val="20"/>
              </w:rPr>
            </w:pPr>
            <w:r>
              <w:rPr>
                <w:rFonts w:hint="eastAsia" w:ascii="仿宋" w:hAnsi="仿宋" w:eastAsia="仿宋"/>
                <w:sz w:val="20"/>
              </w:rPr>
              <w:t>-</w:t>
            </w:r>
          </w:p>
        </w:tc>
        <w:tc>
          <w:tcPr>
            <w:tcW w:w="5670" w:type="dxa"/>
            <w:gridSpan w:val="4"/>
            <w:vMerge w:val="continue"/>
            <w:tcBorders>
              <w:top w:val="nil"/>
            </w:tcBorders>
          </w:tcPr>
          <w:p w14:paraId="2B0A5311">
            <w:pPr>
              <w:rPr>
                <w:rFonts w:hint="eastAsia"/>
                <w:sz w:val="2"/>
                <w:szCs w:val="2"/>
              </w:rPr>
            </w:pPr>
          </w:p>
        </w:tc>
        <w:tc>
          <w:tcPr>
            <w:tcW w:w="2065" w:type="dxa"/>
            <w:gridSpan w:val="2"/>
            <w:vMerge w:val="continue"/>
            <w:tcBorders>
              <w:top w:val="nil"/>
            </w:tcBorders>
          </w:tcPr>
          <w:p w14:paraId="46216BAC">
            <w:pPr>
              <w:rPr>
                <w:rFonts w:hint="eastAsia"/>
                <w:sz w:val="2"/>
                <w:szCs w:val="2"/>
              </w:rPr>
            </w:pPr>
          </w:p>
        </w:tc>
      </w:tr>
      <w:tr w14:paraId="1DA7A90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05" w:hRule="atLeast"/>
        </w:trPr>
        <w:tc>
          <w:tcPr>
            <w:tcW w:w="1309" w:type="dxa"/>
            <w:vAlign w:val="center"/>
          </w:tcPr>
          <w:p w14:paraId="44DE27AB">
            <w:pPr>
              <w:pStyle w:val="15"/>
              <w:spacing w:line="242" w:lineRule="auto"/>
              <w:ind w:left="160" w:right="123"/>
              <w:jc w:val="center"/>
              <w:rPr>
                <w:rFonts w:hint="eastAsia" w:ascii="仿宋" w:hAnsi="仿宋" w:eastAsia="仿宋"/>
                <w:sz w:val="20"/>
              </w:rPr>
            </w:pPr>
            <w:r>
              <w:rPr>
                <w:rFonts w:ascii="仿宋" w:hAnsi="仿宋" w:eastAsia="仿宋"/>
                <w:sz w:val="20"/>
              </w:rPr>
              <w:t>承诺投资项目和超募资金投向</w:t>
            </w:r>
          </w:p>
        </w:tc>
        <w:tc>
          <w:tcPr>
            <w:tcW w:w="851" w:type="dxa"/>
            <w:vAlign w:val="center"/>
          </w:tcPr>
          <w:p w14:paraId="19A4B273">
            <w:pPr>
              <w:pStyle w:val="15"/>
              <w:spacing w:line="235" w:lineRule="exact"/>
              <w:ind w:left="184"/>
              <w:rPr>
                <w:rFonts w:hint="eastAsia" w:ascii="仿宋" w:hAnsi="仿宋" w:eastAsia="仿宋"/>
                <w:sz w:val="20"/>
              </w:rPr>
            </w:pPr>
            <w:r>
              <w:rPr>
                <w:rFonts w:ascii="仿宋" w:hAnsi="仿宋" w:eastAsia="仿宋"/>
                <w:sz w:val="20"/>
              </w:rPr>
              <w:t xml:space="preserve">是否已变更 项 </w:t>
            </w:r>
            <w:r>
              <w:rPr>
                <w:rFonts w:ascii="仿宋" w:hAnsi="仿宋" w:eastAsia="仿宋"/>
                <w:spacing w:val="-48"/>
                <w:sz w:val="20"/>
              </w:rPr>
              <w:t>目</w:t>
            </w:r>
            <w:r>
              <w:rPr>
                <w:rFonts w:ascii="仿宋" w:hAnsi="仿宋" w:eastAsia="仿宋"/>
                <w:sz w:val="20"/>
              </w:rPr>
              <w:t>（</w:t>
            </w:r>
            <w:r>
              <w:rPr>
                <w:rFonts w:ascii="仿宋" w:hAnsi="仿宋" w:eastAsia="仿宋"/>
                <w:spacing w:val="-17"/>
                <w:sz w:val="20"/>
              </w:rPr>
              <w:t>含</w:t>
            </w:r>
            <w:r>
              <w:rPr>
                <w:rFonts w:ascii="仿宋" w:hAnsi="仿宋" w:eastAsia="仿宋"/>
                <w:sz w:val="20"/>
              </w:rPr>
              <w:t>部分变更</w:t>
            </w:r>
            <w:r>
              <w:rPr>
                <w:rFonts w:ascii="仿宋" w:hAnsi="仿宋" w:eastAsia="仿宋"/>
                <w:spacing w:val="-17"/>
                <w:sz w:val="20"/>
              </w:rPr>
              <w:t>）</w:t>
            </w:r>
          </w:p>
        </w:tc>
        <w:tc>
          <w:tcPr>
            <w:tcW w:w="1260" w:type="dxa"/>
            <w:vAlign w:val="center"/>
          </w:tcPr>
          <w:p w14:paraId="5E5EABC2">
            <w:pPr>
              <w:pStyle w:val="15"/>
              <w:spacing w:line="235" w:lineRule="auto"/>
              <w:ind w:left="172" w:right="135"/>
              <w:rPr>
                <w:rFonts w:hint="eastAsia" w:ascii="仿宋" w:hAnsi="仿宋" w:eastAsia="仿宋"/>
                <w:sz w:val="20"/>
              </w:rPr>
            </w:pPr>
            <w:r>
              <w:rPr>
                <w:rFonts w:ascii="仿宋" w:hAnsi="仿宋" w:eastAsia="仿宋"/>
                <w:sz w:val="20"/>
              </w:rPr>
              <w:t>募集资金承诺投资总额</w:t>
            </w:r>
          </w:p>
        </w:tc>
        <w:tc>
          <w:tcPr>
            <w:tcW w:w="1418" w:type="dxa"/>
            <w:vAlign w:val="center"/>
          </w:tcPr>
          <w:p w14:paraId="70F02457">
            <w:pPr>
              <w:pStyle w:val="15"/>
              <w:spacing w:line="235" w:lineRule="auto"/>
              <w:ind w:right="123"/>
              <w:jc w:val="center"/>
              <w:rPr>
                <w:rFonts w:hint="eastAsia" w:ascii="仿宋" w:hAnsi="仿宋" w:eastAsia="仿宋"/>
                <w:sz w:val="20"/>
              </w:rPr>
            </w:pPr>
            <w:r>
              <w:rPr>
                <w:rFonts w:ascii="仿宋" w:hAnsi="仿宋" w:eastAsia="仿宋"/>
                <w:sz w:val="20"/>
              </w:rPr>
              <w:t>调整后投资总额(1)</w:t>
            </w:r>
          </w:p>
        </w:tc>
        <w:tc>
          <w:tcPr>
            <w:tcW w:w="1008" w:type="dxa"/>
            <w:vAlign w:val="center"/>
          </w:tcPr>
          <w:p w14:paraId="47AF08E7">
            <w:pPr>
              <w:pStyle w:val="15"/>
              <w:spacing w:line="235" w:lineRule="auto"/>
              <w:ind w:left="220" w:right="70" w:hanging="96"/>
              <w:rPr>
                <w:rFonts w:hint="eastAsia" w:ascii="仿宋" w:hAnsi="仿宋" w:eastAsia="仿宋"/>
                <w:sz w:val="20"/>
              </w:rPr>
            </w:pPr>
            <w:r>
              <w:rPr>
                <w:rFonts w:ascii="仿宋" w:hAnsi="仿宋" w:eastAsia="仿宋"/>
                <w:sz w:val="20"/>
              </w:rPr>
              <w:t>本年度投入金额</w:t>
            </w:r>
          </w:p>
        </w:tc>
        <w:tc>
          <w:tcPr>
            <w:tcW w:w="1276" w:type="dxa"/>
            <w:vAlign w:val="center"/>
          </w:tcPr>
          <w:p w14:paraId="20F563F5">
            <w:pPr>
              <w:pStyle w:val="15"/>
              <w:spacing w:line="242" w:lineRule="auto"/>
              <w:ind w:left="176" w:right="147"/>
              <w:jc w:val="center"/>
              <w:rPr>
                <w:rFonts w:hint="eastAsia" w:ascii="仿宋" w:hAnsi="仿宋" w:eastAsia="仿宋"/>
                <w:sz w:val="20"/>
              </w:rPr>
            </w:pPr>
            <w:r>
              <w:rPr>
                <w:rFonts w:ascii="仿宋" w:hAnsi="仿宋" w:eastAsia="仿宋"/>
                <w:sz w:val="20"/>
              </w:rPr>
              <w:t>截至期末累计投入金额(2)</w:t>
            </w:r>
          </w:p>
        </w:tc>
        <w:tc>
          <w:tcPr>
            <w:tcW w:w="1417" w:type="dxa"/>
            <w:vAlign w:val="center"/>
          </w:tcPr>
          <w:p w14:paraId="01085FE9">
            <w:pPr>
              <w:pStyle w:val="15"/>
              <w:spacing w:line="235" w:lineRule="auto"/>
              <w:ind w:left="112" w:right="87"/>
              <w:jc w:val="center"/>
              <w:rPr>
                <w:rFonts w:hint="eastAsia" w:ascii="仿宋" w:hAnsi="仿宋" w:eastAsia="仿宋"/>
                <w:sz w:val="20"/>
              </w:rPr>
            </w:pPr>
            <w:r>
              <w:rPr>
                <w:rFonts w:ascii="仿宋" w:hAnsi="仿宋" w:eastAsia="仿宋"/>
                <w:sz w:val="20"/>
              </w:rPr>
              <w:t>截至期末投资进度（%）(3)</w:t>
            </w:r>
          </w:p>
          <w:p w14:paraId="39542012">
            <w:pPr>
              <w:pStyle w:val="15"/>
              <w:spacing w:before="10"/>
              <w:ind w:left="112" w:right="82"/>
              <w:jc w:val="center"/>
              <w:rPr>
                <w:rFonts w:hint="eastAsia" w:ascii="仿宋" w:hAnsi="仿宋" w:eastAsia="仿宋"/>
                <w:sz w:val="20"/>
              </w:rPr>
            </w:pPr>
            <w:r>
              <w:rPr>
                <w:rFonts w:ascii="仿宋" w:hAnsi="仿宋" w:eastAsia="仿宋"/>
                <w:sz w:val="20"/>
              </w:rPr>
              <w:t>＝(2)/(1)</w:t>
            </w:r>
          </w:p>
        </w:tc>
        <w:tc>
          <w:tcPr>
            <w:tcW w:w="1701" w:type="dxa"/>
            <w:vAlign w:val="center"/>
          </w:tcPr>
          <w:p w14:paraId="6B5F35BE">
            <w:pPr>
              <w:pStyle w:val="15"/>
              <w:spacing w:line="242" w:lineRule="auto"/>
              <w:ind w:left="173" w:right="146"/>
              <w:jc w:val="center"/>
              <w:rPr>
                <w:rFonts w:hint="eastAsia" w:ascii="仿宋" w:hAnsi="仿宋" w:eastAsia="仿宋"/>
                <w:sz w:val="20"/>
              </w:rPr>
            </w:pPr>
            <w:r>
              <w:rPr>
                <w:rFonts w:ascii="仿宋" w:hAnsi="仿宋" w:eastAsia="仿宋"/>
                <w:sz w:val="20"/>
              </w:rPr>
              <w:t>项目达到预定可使用状态日期</w:t>
            </w:r>
          </w:p>
        </w:tc>
        <w:tc>
          <w:tcPr>
            <w:tcW w:w="1276" w:type="dxa"/>
            <w:vAlign w:val="center"/>
          </w:tcPr>
          <w:p w14:paraId="3E9DB235">
            <w:pPr>
              <w:pStyle w:val="15"/>
              <w:spacing w:line="235" w:lineRule="auto"/>
              <w:ind w:left="185" w:right="170"/>
              <w:rPr>
                <w:rFonts w:hint="eastAsia" w:ascii="仿宋" w:hAnsi="仿宋" w:eastAsia="仿宋"/>
                <w:sz w:val="20"/>
              </w:rPr>
            </w:pPr>
            <w:r>
              <w:rPr>
                <w:rFonts w:ascii="仿宋" w:hAnsi="仿宋" w:eastAsia="仿宋"/>
                <w:sz w:val="20"/>
              </w:rPr>
              <w:t>本年度实现的效益</w:t>
            </w:r>
          </w:p>
        </w:tc>
        <w:tc>
          <w:tcPr>
            <w:tcW w:w="850" w:type="dxa"/>
            <w:vAlign w:val="center"/>
          </w:tcPr>
          <w:p w14:paraId="42CA8295">
            <w:pPr>
              <w:pStyle w:val="15"/>
              <w:spacing w:line="242" w:lineRule="auto"/>
              <w:ind w:left="209" w:right="170"/>
              <w:jc w:val="both"/>
              <w:rPr>
                <w:rFonts w:hint="eastAsia" w:ascii="仿宋" w:hAnsi="仿宋" w:eastAsia="仿宋"/>
                <w:sz w:val="20"/>
              </w:rPr>
            </w:pPr>
            <w:r>
              <w:rPr>
                <w:rFonts w:ascii="仿宋" w:hAnsi="仿宋" w:eastAsia="仿宋"/>
                <w:sz w:val="20"/>
              </w:rPr>
              <w:t>是否达到预计效益</w:t>
            </w:r>
          </w:p>
        </w:tc>
        <w:tc>
          <w:tcPr>
            <w:tcW w:w="1215" w:type="dxa"/>
            <w:vAlign w:val="center"/>
          </w:tcPr>
          <w:p w14:paraId="6E00541C">
            <w:pPr>
              <w:pStyle w:val="15"/>
              <w:spacing w:line="244" w:lineRule="auto"/>
              <w:ind w:left="160" w:right="122"/>
              <w:jc w:val="center"/>
              <w:rPr>
                <w:rFonts w:hint="eastAsia" w:ascii="仿宋" w:hAnsi="仿宋" w:eastAsia="仿宋"/>
                <w:sz w:val="20"/>
              </w:rPr>
            </w:pPr>
            <w:r>
              <w:rPr>
                <w:rFonts w:ascii="仿宋" w:hAnsi="仿宋" w:eastAsia="仿宋"/>
                <w:sz w:val="20"/>
              </w:rPr>
              <w:t>项目可行性是否发生重大变化</w:t>
            </w:r>
          </w:p>
        </w:tc>
      </w:tr>
      <w:tr w14:paraId="2FFBE86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3" w:hRule="atLeast"/>
        </w:trPr>
        <w:tc>
          <w:tcPr>
            <w:tcW w:w="1309" w:type="dxa"/>
          </w:tcPr>
          <w:p w14:paraId="440CA9A4">
            <w:pPr>
              <w:pStyle w:val="15"/>
              <w:spacing w:line="249" w:lineRule="exact"/>
              <w:ind w:left="112"/>
              <w:rPr>
                <w:rFonts w:hint="eastAsia" w:ascii="仿宋" w:hAnsi="仿宋" w:eastAsia="仿宋"/>
                <w:sz w:val="20"/>
              </w:rPr>
            </w:pPr>
            <w:r>
              <w:rPr>
                <w:rFonts w:ascii="仿宋" w:hAnsi="仿宋" w:eastAsia="仿宋"/>
                <w:sz w:val="20"/>
              </w:rPr>
              <w:t>承诺投资项</w:t>
            </w:r>
            <w:r>
              <w:rPr>
                <w:rFonts w:ascii="仿宋" w:hAnsi="仿宋" w:eastAsia="仿宋"/>
                <w:w w:val="102"/>
                <w:sz w:val="20"/>
              </w:rPr>
              <w:t>目</w:t>
            </w:r>
          </w:p>
        </w:tc>
        <w:tc>
          <w:tcPr>
            <w:tcW w:w="851" w:type="dxa"/>
            <w:vAlign w:val="center"/>
          </w:tcPr>
          <w:p w14:paraId="34D4DD95">
            <w:pPr>
              <w:pStyle w:val="15"/>
              <w:jc w:val="center"/>
              <w:rPr>
                <w:rFonts w:hint="eastAsia" w:ascii="仿宋" w:hAnsi="仿宋" w:eastAsia="仿宋"/>
                <w:sz w:val="21"/>
                <w:szCs w:val="21"/>
              </w:rPr>
            </w:pPr>
          </w:p>
        </w:tc>
        <w:tc>
          <w:tcPr>
            <w:tcW w:w="1260" w:type="dxa"/>
            <w:vAlign w:val="center"/>
          </w:tcPr>
          <w:p w14:paraId="65457145">
            <w:pPr>
              <w:pStyle w:val="15"/>
              <w:jc w:val="center"/>
              <w:rPr>
                <w:rFonts w:hint="eastAsia" w:ascii="仿宋" w:hAnsi="仿宋" w:eastAsia="仿宋"/>
                <w:sz w:val="21"/>
                <w:szCs w:val="21"/>
              </w:rPr>
            </w:pPr>
          </w:p>
        </w:tc>
        <w:tc>
          <w:tcPr>
            <w:tcW w:w="1418" w:type="dxa"/>
            <w:vAlign w:val="center"/>
          </w:tcPr>
          <w:p w14:paraId="34176398">
            <w:pPr>
              <w:pStyle w:val="15"/>
              <w:jc w:val="center"/>
              <w:rPr>
                <w:rFonts w:hint="eastAsia" w:ascii="仿宋" w:hAnsi="仿宋" w:eastAsia="仿宋"/>
                <w:sz w:val="21"/>
                <w:szCs w:val="21"/>
              </w:rPr>
            </w:pPr>
          </w:p>
        </w:tc>
        <w:tc>
          <w:tcPr>
            <w:tcW w:w="1008" w:type="dxa"/>
            <w:vAlign w:val="center"/>
          </w:tcPr>
          <w:p w14:paraId="00549DE8">
            <w:pPr>
              <w:pStyle w:val="15"/>
              <w:jc w:val="center"/>
              <w:rPr>
                <w:rFonts w:hint="eastAsia" w:ascii="仿宋" w:hAnsi="仿宋" w:eastAsia="仿宋"/>
                <w:sz w:val="21"/>
                <w:szCs w:val="21"/>
              </w:rPr>
            </w:pPr>
          </w:p>
        </w:tc>
        <w:tc>
          <w:tcPr>
            <w:tcW w:w="1276" w:type="dxa"/>
            <w:vAlign w:val="center"/>
          </w:tcPr>
          <w:p w14:paraId="493A7F09">
            <w:pPr>
              <w:pStyle w:val="15"/>
              <w:jc w:val="center"/>
              <w:rPr>
                <w:rFonts w:hint="eastAsia" w:ascii="仿宋" w:hAnsi="仿宋" w:eastAsia="仿宋"/>
                <w:sz w:val="21"/>
                <w:szCs w:val="21"/>
              </w:rPr>
            </w:pPr>
          </w:p>
        </w:tc>
        <w:tc>
          <w:tcPr>
            <w:tcW w:w="1417" w:type="dxa"/>
            <w:vAlign w:val="center"/>
          </w:tcPr>
          <w:p w14:paraId="6428471F">
            <w:pPr>
              <w:pStyle w:val="15"/>
              <w:jc w:val="center"/>
              <w:rPr>
                <w:rFonts w:hint="eastAsia" w:ascii="仿宋" w:hAnsi="仿宋" w:eastAsia="仿宋"/>
                <w:sz w:val="21"/>
                <w:szCs w:val="21"/>
              </w:rPr>
            </w:pPr>
          </w:p>
        </w:tc>
        <w:tc>
          <w:tcPr>
            <w:tcW w:w="1701" w:type="dxa"/>
            <w:vAlign w:val="center"/>
          </w:tcPr>
          <w:p w14:paraId="783D6A18">
            <w:pPr>
              <w:pStyle w:val="15"/>
              <w:jc w:val="center"/>
              <w:rPr>
                <w:rFonts w:hint="eastAsia" w:ascii="仿宋" w:hAnsi="仿宋" w:eastAsia="仿宋"/>
                <w:sz w:val="21"/>
                <w:szCs w:val="21"/>
              </w:rPr>
            </w:pPr>
          </w:p>
        </w:tc>
        <w:tc>
          <w:tcPr>
            <w:tcW w:w="1276" w:type="dxa"/>
            <w:vAlign w:val="center"/>
          </w:tcPr>
          <w:p w14:paraId="671C01E5">
            <w:pPr>
              <w:pStyle w:val="15"/>
              <w:jc w:val="center"/>
              <w:rPr>
                <w:rFonts w:hint="eastAsia" w:ascii="仿宋" w:hAnsi="仿宋" w:eastAsia="仿宋"/>
                <w:sz w:val="21"/>
                <w:szCs w:val="21"/>
              </w:rPr>
            </w:pPr>
          </w:p>
        </w:tc>
        <w:tc>
          <w:tcPr>
            <w:tcW w:w="850" w:type="dxa"/>
            <w:vAlign w:val="center"/>
          </w:tcPr>
          <w:p w14:paraId="38818CAD">
            <w:pPr>
              <w:pStyle w:val="15"/>
              <w:jc w:val="center"/>
              <w:rPr>
                <w:rFonts w:hint="eastAsia" w:ascii="仿宋" w:hAnsi="仿宋" w:eastAsia="仿宋"/>
                <w:sz w:val="21"/>
                <w:szCs w:val="21"/>
              </w:rPr>
            </w:pPr>
          </w:p>
        </w:tc>
        <w:tc>
          <w:tcPr>
            <w:tcW w:w="1215" w:type="dxa"/>
          </w:tcPr>
          <w:p w14:paraId="5CFEA48F">
            <w:pPr>
              <w:pStyle w:val="15"/>
              <w:jc w:val="center"/>
              <w:rPr>
                <w:rFonts w:hint="eastAsia" w:ascii="仿宋" w:hAnsi="仿宋" w:eastAsia="仿宋"/>
                <w:sz w:val="20"/>
              </w:rPr>
            </w:pPr>
          </w:p>
        </w:tc>
      </w:tr>
      <w:tr w14:paraId="2906A6C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77" w:hRule="atLeast"/>
        </w:trPr>
        <w:tc>
          <w:tcPr>
            <w:tcW w:w="1309" w:type="dxa"/>
          </w:tcPr>
          <w:p w14:paraId="6E0E9053">
            <w:pPr>
              <w:pStyle w:val="15"/>
              <w:spacing w:line="247" w:lineRule="exact"/>
              <w:ind w:left="112"/>
              <w:rPr>
                <w:rFonts w:hint="eastAsia" w:ascii="仿宋" w:hAnsi="仿宋" w:eastAsia="仿宋"/>
                <w:sz w:val="20"/>
              </w:rPr>
            </w:pPr>
            <w:r>
              <w:rPr>
                <w:rFonts w:ascii="仿宋" w:hAnsi="仿宋" w:eastAsia="仿宋"/>
                <w:sz w:val="20"/>
              </w:rPr>
              <w:t>1、安徽南谯常山风电场项目</w:t>
            </w:r>
          </w:p>
        </w:tc>
        <w:tc>
          <w:tcPr>
            <w:tcW w:w="851" w:type="dxa"/>
            <w:vAlign w:val="center"/>
          </w:tcPr>
          <w:p w14:paraId="3FC3BE1B">
            <w:pPr>
              <w:pStyle w:val="15"/>
              <w:spacing w:before="1"/>
              <w:ind w:right="207"/>
              <w:jc w:val="center"/>
              <w:rPr>
                <w:rFonts w:hint="eastAsia" w:ascii="仿宋" w:hAnsi="仿宋" w:eastAsia="仿宋"/>
                <w:w w:val="102"/>
                <w:sz w:val="21"/>
                <w:szCs w:val="21"/>
              </w:rPr>
            </w:pPr>
            <w:r>
              <w:rPr>
                <w:rFonts w:ascii="仿宋" w:hAnsi="仿宋" w:eastAsia="仿宋"/>
                <w:w w:val="102"/>
                <w:sz w:val="21"/>
                <w:szCs w:val="21"/>
              </w:rPr>
              <w:t>否</w:t>
            </w:r>
          </w:p>
        </w:tc>
        <w:tc>
          <w:tcPr>
            <w:tcW w:w="1260" w:type="dxa"/>
            <w:vAlign w:val="center"/>
          </w:tcPr>
          <w:p w14:paraId="5360F8AF">
            <w:pPr>
              <w:pStyle w:val="15"/>
              <w:spacing w:before="1"/>
              <w:ind w:right="155"/>
              <w:jc w:val="center"/>
              <w:rPr>
                <w:rFonts w:hint="eastAsia" w:ascii="仿宋" w:hAnsi="仿宋" w:eastAsia="仿宋"/>
                <w:w w:val="102"/>
                <w:sz w:val="21"/>
                <w:szCs w:val="21"/>
              </w:rPr>
            </w:pPr>
            <w:r>
              <w:rPr>
                <w:rFonts w:ascii="仿宋" w:hAnsi="仿宋" w:eastAsia="仿宋"/>
                <w:w w:val="102"/>
                <w:sz w:val="21"/>
                <w:szCs w:val="21"/>
              </w:rPr>
              <w:t>30,999.00</w:t>
            </w:r>
          </w:p>
        </w:tc>
        <w:tc>
          <w:tcPr>
            <w:tcW w:w="1418" w:type="dxa"/>
            <w:vAlign w:val="center"/>
          </w:tcPr>
          <w:p w14:paraId="4A313A79">
            <w:pPr>
              <w:pStyle w:val="15"/>
              <w:spacing w:before="1"/>
              <w:ind w:right="239"/>
              <w:jc w:val="center"/>
              <w:rPr>
                <w:rFonts w:hint="eastAsia" w:ascii="仿宋" w:hAnsi="仿宋" w:eastAsia="仿宋"/>
                <w:w w:val="102"/>
                <w:sz w:val="21"/>
                <w:szCs w:val="21"/>
              </w:rPr>
            </w:pPr>
            <w:r>
              <w:rPr>
                <w:rFonts w:ascii="仿宋" w:hAnsi="仿宋" w:eastAsia="仿宋"/>
                <w:w w:val="102"/>
                <w:sz w:val="21"/>
                <w:szCs w:val="21"/>
              </w:rPr>
              <w:t>30,999.00</w:t>
            </w:r>
          </w:p>
        </w:tc>
        <w:tc>
          <w:tcPr>
            <w:tcW w:w="1008" w:type="dxa"/>
            <w:vAlign w:val="center"/>
          </w:tcPr>
          <w:p w14:paraId="5D9D192F">
            <w:pPr>
              <w:pStyle w:val="15"/>
              <w:spacing w:before="1"/>
              <w:ind w:right="65"/>
              <w:jc w:val="center"/>
              <w:rPr>
                <w:rFonts w:hint="eastAsia" w:ascii="仿宋" w:hAnsi="仿宋" w:eastAsia="仿宋"/>
                <w:w w:val="102"/>
                <w:sz w:val="21"/>
                <w:szCs w:val="21"/>
              </w:rPr>
            </w:pPr>
            <w:r>
              <w:rPr>
                <w:rFonts w:ascii="仿宋" w:hAnsi="仿宋" w:eastAsia="仿宋"/>
                <w:w w:val="102"/>
                <w:sz w:val="21"/>
                <w:szCs w:val="21"/>
              </w:rPr>
              <w:t>0.00</w:t>
            </w:r>
          </w:p>
        </w:tc>
        <w:tc>
          <w:tcPr>
            <w:tcW w:w="1276" w:type="dxa"/>
            <w:vAlign w:val="center"/>
          </w:tcPr>
          <w:p w14:paraId="6EDC091F">
            <w:pPr>
              <w:pStyle w:val="15"/>
              <w:spacing w:before="1"/>
              <w:ind w:right="154"/>
              <w:jc w:val="center"/>
              <w:rPr>
                <w:rFonts w:hint="eastAsia" w:ascii="仿宋" w:hAnsi="仿宋" w:eastAsia="仿宋"/>
                <w:w w:val="102"/>
                <w:sz w:val="21"/>
                <w:szCs w:val="21"/>
              </w:rPr>
            </w:pPr>
            <w:r>
              <w:rPr>
                <w:rFonts w:ascii="仿宋" w:hAnsi="仿宋" w:eastAsia="仿宋"/>
                <w:w w:val="102"/>
                <w:sz w:val="21"/>
                <w:szCs w:val="21"/>
              </w:rPr>
              <w:t>28,086.55</w:t>
            </w:r>
          </w:p>
        </w:tc>
        <w:tc>
          <w:tcPr>
            <w:tcW w:w="1417" w:type="dxa"/>
            <w:vAlign w:val="center"/>
          </w:tcPr>
          <w:p w14:paraId="0A56DD6E">
            <w:pPr>
              <w:pStyle w:val="15"/>
              <w:spacing w:before="1"/>
              <w:ind w:left="212" w:right="87"/>
              <w:jc w:val="center"/>
              <w:rPr>
                <w:rFonts w:hint="eastAsia" w:ascii="仿宋" w:hAnsi="仿宋" w:eastAsia="仿宋"/>
                <w:w w:val="102"/>
                <w:sz w:val="21"/>
                <w:szCs w:val="21"/>
              </w:rPr>
            </w:pPr>
            <w:r>
              <w:rPr>
                <w:rFonts w:ascii="仿宋" w:hAnsi="仿宋" w:eastAsia="仿宋"/>
                <w:w w:val="102"/>
                <w:sz w:val="21"/>
                <w:szCs w:val="21"/>
              </w:rPr>
              <w:t>90.60</w:t>
            </w:r>
          </w:p>
        </w:tc>
        <w:tc>
          <w:tcPr>
            <w:tcW w:w="1701" w:type="dxa"/>
            <w:vAlign w:val="center"/>
          </w:tcPr>
          <w:p w14:paraId="41797F7B">
            <w:pPr>
              <w:pStyle w:val="15"/>
              <w:spacing w:before="1" w:line="254" w:lineRule="exact"/>
              <w:ind w:left="52" w:right="33"/>
              <w:jc w:val="center"/>
              <w:rPr>
                <w:rFonts w:hint="eastAsia" w:ascii="仿宋" w:hAnsi="仿宋" w:eastAsia="仿宋"/>
                <w:w w:val="102"/>
                <w:sz w:val="21"/>
                <w:szCs w:val="21"/>
              </w:rPr>
            </w:pPr>
            <w:r>
              <w:rPr>
                <w:rFonts w:ascii="仿宋" w:hAnsi="仿宋" w:eastAsia="仿宋"/>
                <w:w w:val="102"/>
                <w:sz w:val="21"/>
                <w:szCs w:val="21"/>
              </w:rPr>
              <w:t>2016年1月1日</w:t>
            </w:r>
          </w:p>
        </w:tc>
        <w:tc>
          <w:tcPr>
            <w:tcW w:w="1276" w:type="dxa"/>
            <w:vAlign w:val="center"/>
          </w:tcPr>
          <w:p w14:paraId="6D1C6633">
            <w:pPr>
              <w:pStyle w:val="15"/>
              <w:spacing w:before="1"/>
              <w:ind w:left="123" w:right="10"/>
              <w:jc w:val="center"/>
              <w:rPr>
                <w:rFonts w:hint="eastAsia" w:ascii="仿宋" w:hAnsi="仿宋" w:eastAsia="仿宋"/>
                <w:w w:val="102"/>
                <w:sz w:val="21"/>
                <w:szCs w:val="21"/>
              </w:rPr>
            </w:pPr>
            <w:r>
              <w:rPr>
                <w:rFonts w:hint="eastAsia" w:ascii="仿宋" w:hAnsi="仿宋" w:eastAsia="仿宋"/>
                <w:w w:val="102"/>
                <w:sz w:val="21"/>
                <w:szCs w:val="21"/>
              </w:rPr>
              <w:t>1,422.96</w:t>
            </w:r>
          </w:p>
        </w:tc>
        <w:tc>
          <w:tcPr>
            <w:tcW w:w="850" w:type="dxa"/>
            <w:vAlign w:val="center"/>
          </w:tcPr>
          <w:p w14:paraId="7589AE88">
            <w:pPr>
              <w:pStyle w:val="15"/>
              <w:spacing w:before="1"/>
              <w:ind w:left="13"/>
              <w:jc w:val="center"/>
              <w:rPr>
                <w:rFonts w:hint="eastAsia" w:ascii="仿宋" w:hAnsi="仿宋" w:eastAsia="仿宋"/>
                <w:w w:val="102"/>
                <w:sz w:val="21"/>
                <w:szCs w:val="21"/>
              </w:rPr>
            </w:pPr>
            <w:r>
              <w:rPr>
                <w:rFonts w:ascii="仿宋" w:hAnsi="仿宋" w:eastAsia="仿宋"/>
                <w:w w:val="102"/>
                <w:sz w:val="21"/>
                <w:szCs w:val="21"/>
              </w:rPr>
              <w:t>是</w:t>
            </w:r>
          </w:p>
        </w:tc>
        <w:tc>
          <w:tcPr>
            <w:tcW w:w="1215" w:type="dxa"/>
            <w:vAlign w:val="center"/>
          </w:tcPr>
          <w:p w14:paraId="3DF988EC">
            <w:pPr>
              <w:pStyle w:val="15"/>
              <w:spacing w:before="1"/>
              <w:ind w:right="373"/>
              <w:jc w:val="center"/>
              <w:rPr>
                <w:rFonts w:hint="eastAsia" w:ascii="仿宋" w:hAnsi="仿宋" w:eastAsia="仿宋"/>
                <w:w w:val="102"/>
                <w:sz w:val="20"/>
              </w:rPr>
            </w:pPr>
            <w:r>
              <w:rPr>
                <w:rFonts w:ascii="仿宋" w:hAnsi="仿宋" w:eastAsia="仿宋"/>
                <w:w w:val="102"/>
                <w:sz w:val="20"/>
              </w:rPr>
              <w:t>否</w:t>
            </w:r>
          </w:p>
        </w:tc>
      </w:tr>
      <w:tr w14:paraId="2F458CE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30" w:hRule="atLeast"/>
        </w:trPr>
        <w:tc>
          <w:tcPr>
            <w:tcW w:w="1309" w:type="dxa"/>
          </w:tcPr>
          <w:p w14:paraId="7F388FA8">
            <w:pPr>
              <w:pStyle w:val="15"/>
              <w:spacing w:line="242" w:lineRule="auto"/>
              <w:ind w:left="112" w:right="75"/>
              <w:rPr>
                <w:rFonts w:hint="eastAsia" w:ascii="仿宋" w:hAnsi="仿宋" w:eastAsia="仿宋"/>
                <w:sz w:val="20"/>
              </w:rPr>
            </w:pPr>
            <w:r>
              <w:rPr>
                <w:rFonts w:ascii="仿宋" w:hAnsi="仿宋" w:eastAsia="仿宋"/>
                <w:sz w:val="20"/>
              </w:rPr>
              <w:t>2、青海诺木洪大格勒河东风电场一期工程</w:t>
            </w:r>
          </w:p>
        </w:tc>
        <w:tc>
          <w:tcPr>
            <w:tcW w:w="851" w:type="dxa"/>
            <w:vAlign w:val="center"/>
          </w:tcPr>
          <w:p w14:paraId="37EC13CC">
            <w:pPr>
              <w:pStyle w:val="15"/>
              <w:spacing w:before="1"/>
              <w:ind w:right="207"/>
              <w:jc w:val="center"/>
              <w:rPr>
                <w:rFonts w:hint="eastAsia" w:ascii="仿宋" w:hAnsi="仿宋" w:eastAsia="仿宋"/>
                <w:w w:val="102"/>
                <w:sz w:val="21"/>
                <w:szCs w:val="21"/>
              </w:rPr>
            </w:pPr>
            <w:r>
              <w:rPr>
                <w:rFonts w:ascii="仿宋" w:hAnsi="仿宋" w:eastAsia="仿宋"/>
                <w:w w:val="102"/>
                <w:sz w:val="21"/>
                <w:szCs w:val="21"/>
              </w:rPr>
              <w:t>否</w:t>
            </w:r>
          </w:p>
        </w:tc>
        <w:tc>
          <w:tcPr>
            <w:tcW w:w="1260" w:type="dxa"/>
            <w:vAlign w:val="center"/>
          </w:tcPr>
          <w:p w14:paraId="76C04502">
            <w:pPr>
              <w:pStyle w:val="15"/>
              <w:ind w:right="155"/>
              <w:jc w:val="center"/>
              <w:rPr>
                <w:rFonts w:hint="eastAsia" w:ascii="仿宋" w:hAnsi="仿宋" w:eastAsia="仿宋"/>
                <w:w w:val="102"/>
                <w:sz w:val="21"/>
                <w:szCs w:val="21"/>
              </w:rPr>
            </w:pPr>
            <w:r>
              <w:rPr>
                <w:rFonts w:ascii="仿宋" w:hAnsi="仿宋" w:eastAsia="仿宋"/>
                <w:w w:val="102"/>
                <w:sz w:val="21"/>
                <w:szCs w:val="21"/>
              </w:rPr>
              <w:t>38,808.00</w:t>
            </w:r>
          </w:p>
        </w:tc>
        <w:tc>
          <w:tcPr>
            <w:tcW w:w="1418" w:type="dxa"/>
            <w:vAlign w:val="center"/>
          </w:tcPr>
          <w:p w14:paraId="49245E01">
            <w:pPr>
              <w:pStyle w:val="15"/>
              <w:ind w:right="239"/>
              <w:jc w:val="center"/>
              <w:rPr>
                <w:rFonts w:hint="eastAsia" w:ascii="仿宋" w:hAnsi="仿宋" w:eastAsia="仿宋"/>
                <w:w w:val="102"/>
                <w:sz w:val="21"/>
                <w:szCs w:val="21"/>
              </w:rPr>
            </w:pPr>
            <w:r>
              <w:rPr>
                <w:rFonts w:ascii="仿宋" w:hAnsi="仿宋" w:eastAsia="仿宋"/>
                <w:w w:val="102"/>
                <w:sz w:val="21"/>
                <w:szCs w:val="21"/>
              </w:rPr>
              <w:t>38,808.00</w:t>
            </w:r>
          </w:p>
        </w:tc>
        <w:tc>
          <w:tcPr>
            <w:tcW w:w="1008" w:type="dxa"/>
            <w:vAlign w:val="center"/>
          </w:tcPr>
          <w:p w14:paraId="13372502">
            <w:pPr>
              <w:pStyle w:val="15"/>
              <w:jc w:val="center"/>
              <w:rPr>
                <w:rFonts w:hint="eastAsia" w:ascii="仿宋" w:hAnsi="仿宋" w:eastAsia="仿宋"/>
                <w:w w:val="102"/>
                <w:sz w:val="21"/>
                <w:szCs w:val="21"/>
              </w:rPr>
            </w:pPr>
            <w:r>
              <w:rPr>
                <w:rFonts w:ascii="仿宋" w:hAnsi="仿宋" w:eastAsia="仿宋"/>
                <w:w w:val="102"/>
                <w:sz w:val="21"/>
                <w:szCs w:val="21"/>
              </w:rPr>
              <w:t>0.00</w:t>
            </w:r>
          </w:p>
        </w:tc>
        <w:tc>
          <w:tcPr>
            <w:tcW w:w="1276" w:type="dxa"/>
            <w:vAlign w:val="center"/>
          </w:tcPr>
          <w:p w14:paraId="45936CA2">
            <w:pPr>
              <w:pStyle w:val="15"/>
              <w:ind w:right="154"/>
              <w:jc w:val="center"/>
              <w:rPr>
                <w:rFonts w:hint="eastAsia" w:ascii="仿宋" w:hAnsi="仿宋" w:eastAsia="仿宋"/>
                <w:w w:val="102"/>
                <w:sz w:val="21"/>
                <w:szCs w:val="21"/>
              </w:rPr>
            </w:pPr>
            <w:r>
              <w:rPr>
                <w:rFonts w:ascii="仿宋" w:hAnsi="仿宋" w:eastAsia="仿宋"/>
                <w:w w:val="102"/>
                <w:sz w:val="21"/>
                <w:szCs w:val="21"/>
              </w:rPr>
              <w:t>38,689.00</w:t>
            </w:r>
          </w:p>
        </w:tc>
        <w:tc>
          <w:tcPr>
            <w:tcW w:w="1417" w:type="dxa"/>
            <w:vAlign w:val="center"/>
          </w:tcPr>
          <w:p w14:paraId="43BB5174">
            <w:pPr>
              <w:pStyle w:val="15"/>
              <w:ind w:left="212" w:right="87"/>
              <w:jc w:val="center"/>
              <w:rPr>
                <w:rFonts w:hint="eastAsia" w:ascii="仿宋" w:hAnsi="仿宋" w:eastAsia="仿宋"/>
                <w:w w:val="102"/>
                <w:sz w:val="21"/>
                <w:szCs w:val="21"/>
              </w:rPr>
            </w:pPr>
            <w:r>
              <w:rPr>
                <w:rFonts w:ascii="仿宋" w:hAnsi="仿宋" w:eastAsia="仿宋"/>
                <w:w w:val="102"/>
                <w:sz w:val="21"/>
                <w:szCs w:val="21"/>
              </w:rPr>
              <w:t>99.69</w:t>
            </w:r>
          </w:p>
        </w:tc>
        <w:tc>
          <w:tcPr>
            <w:tcW w:w="1701" w:type="dxa"/>
            <w:vAlign w:val="center"/>
          </w:tcPr>
          <w:p w14:paraId="04309760">
            <w:pPr>
              <w:pStyle w:val="15"/>
              <w:ind w:left="50" w:right="37"/>
              <w:jc w:val="center"/>
              <w:rPr>
                <w:rFonts w:hint="eastAsia" w:ascii="仿宋" w:hAnsi="仿宋" w:eastAsia="仿宋"/>
                <w:w w:val="102"/>
                <w:sz w:val="21"/>
                <w:szCs w:val="21"/>
              </w:rPr>
            </w:pPr>
            <w:r>
              <w:rPr>
                <w:rFonts w:ascii="仿宋" w:hAnsi="仿宋" w:eastAsia="仿宋"/>
                <w:w w:val="102"/>
                <w:sz w:val="21"/>
                <w:szCs w:val="21"/>
              </w:rPr>
              <w:t>2017年10月30日</w:t>
            </w:r>
          </w:p>
        </w:tc>
        <w:tc>
          <w:tcPr>
            <w:tcW w:w="1276" w:type="dxa"/>
            <w:vAlign w:val="center"/>
          </w:tcPr>
          <w:p w14:paraId="572BF53F">
            <w:pPr>
              <w:pStyle w:val="15"/>
              <w:ind w:left="123" w:right="10"/>
              <w:jc w:val="center"/>
              <w:rPr>
                <w:rFonts w:hint="eastAsia" w:ascii="仿宋" w:hAnsi="仿宋" w:eastAsia="仿宋"/>
                <w:w w:val="102"/>
                <w:sz w:val="21"/>
                <w:szCs w:val="21"/>
              </w:rPr>
            </w:pPr>
            <w:r>
              <w:rPr>
                <w:rFonts w:hint="eastAsia" w:ascii="仿宋" w:hAnsi="仿宋" w:eastAsia="仿宋"/>
                <w:w w:val="102"/>
                <w:sz w:val="21"/>
                <w:szCs w:val="21"/>
              </w:rPr>
              <w:t>567.10</w:t>
            </w:r>
          </w:p>
        </w:tc>
        <w:tc>
          <w:tcPr>
            <w:tcW w:w="850" w:type="dxa"/>
            <w:vAlign w:val="center"/>
          </w:tcPr>
          <w:p w14:paraId="4C6C54A4">
            <w:pPr>
              <w:pStyle w:val="15"/>
              <w:spacing w:before="1"/>
              <w:ind w:left="13"/>
              <w:jc w:val="center"/>
              <w:rPr>
                <w:rFonts w:hint="eastAsia" w:ascii="仿宋" w:hAnsi="仿宋" w:eastAsia="仿宋"/>
                <w:w w:val="102"/>
                <w:sz w:val="21"/>
                <w:szCs w:val="21"/>
              </w:rPr>
            </w:pPr>
            <w:r>
              <w:rPr>
                <w:rFonts w:ascii="仿宋" w:hAnsi="仿宋" w:eastAsia="仿宋"/>
                <w:w w:val="102"/>
                <w:sz w:val="21"/>
                <w:szCs w:val="21"/>
              </w:rPr>
              <w:t>否</w:t>
            </w:r>
          </w:p>
        </w:tc>
        <w:tc>
          <w:tcPr>
            <w:tcW w:w="1215" w:type="dxa"/>
            <w:vAlign w:val="center"/>
          </w:tcPr>
          <w:p w14:paraId="72F800D9">
            <w:pPr>
              <w:pStyle w:val="15"/>
              <w:spacing w:before="1"/>
              <w:ind w:right="373"/>
              <w:jc w:val="center"/>
              <w:rPr>
                <w:rFonts w:hint="eastAsia" w:ascii="仿宋" w:hAnsi="仿宋" w:eastAsia="仿宋"/>
                <w:w w:val="102"/>
                <w:sz w:val="20"/>
              </w:rPr>
            </w:pPr>
            <w:r>
              <w:rPr>
                <w:rFonts w:ascii="仿宋" w:hAnsi="仿宋" w:eastAsia="仿宋"/>
                <w:w w:val="102"/>
                <w:sz w:val="20"/>
              </w:rPr>
              <w:t>否</w:t>
            </w:r>
          </w:p>
        </w:tc>
      </w:tr>
      <w:tr w14:paraId="50A9BFA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77" w:hRule="atLeast"/>
        </w:trPr>
        <w:tc>
          <w:tcPr>
            <w:tcW w:w="1309" w:type="dxa"/>
          </w:tcPr>
          <w:p w14:paraId="1A3B4E5D">
            <w:pPr>
              <w:pStyle w:val="15"/>
              <w:spacing w:line="247" w:lineRule="exact"/>
              <w:ind w:left="112"/>
              <w:rPr>
                <w:rFonts w:hint="eastAsia" w:ascii="仿宋" w:hAnsi="仿宋" w:eastAsia="仿宋"/>
                <w:sz w:val="20"/>
              </w:rPr>
            </w:pPr>
            <w:r>
              <w:rPr>
                <w:rFonts w:ascii="仿宋" w:hAnsi="仿宋" w:eastAsia="仿宋"/>
                <w:sz w:val="20"/>
              </w:rPr>
              <w:t>3、吉林长岭腰井子风电场二期工程</w:t>
            </w:r>
          </w:p>
        </w:tc>
        <w:tc>
          <w:tcPr>
            <w:tcW w:w="851" w:type="dxa"/>
            <w:vAlign w:val="center"/>
          </w:tcPr>
          <w:p w14:paraId="703A1475">
            <w:pPr>
              <w:pStyle w:val="15"/>
              <w:spacing w:before="1"/>
              <w:ind w:right="207"/>
              <w:jc w:val="center"/>
              <w:rPr>
                <w:rFonts w:hint="eastAsia" w:ascii="仿宋" w:hAnsi="仿宋" w:eastAsia="仿宋"/>
                <w:w w:val="102"/>
                <w:sz w:val="21"/>
                <w:szCs w:val="21"/>
              </w:rPr>
            </w:pPr>
            <w:r>
              <w:rPr>
                <w:rFonts w:ascii="仿宋" w:hAnsi="仿宋" w:eastAsia="仿宋"/>
                <w:w w:val="102"/>
                <w:sz w:val="21"/>
                <w:szCs w:val="21"/>
              </w:rPr>
              <w:t>否</w:t>
            </w:r>
          </w:p>
        </w:tc>
        <w:tc>
          <w:tcPr>
            <w:tcW w:w="1260" w:type="dxa"/>
            <w:vAlign w:val="center"/>
          </w:tcPr>
          <w:p w14:paraId="7F2FC210">
            <w:pPr>
              <w:pStyle w:val="15"/>
              <w:spacing w:before="1"/>
              <w:ind w:right="155"/>
              <w:jc w:val="center"/>
              <w:rPr>
                <w:rFonts w:hint="eastAsia" w:ascii="仿宋" w:hAnsi="仿宋" w:eastAsia="仿宋"/>
                <w:w w:val="102"/>
                <w:sz w:val="21"/>
                <w:szCs w:val="21"/>
              </w:rPr>
            </w:pPr>
            <w:r>
              <w:rPr>
                <w:rFonts w:ascii="仿宋" w:hAnsi="仿宋" w:eastAsia="仿宋"/>
                <w:w w:val="102"/>
                <w:sz w:val="21"/>
                <w:szCs w:val="21"/>
              </w:rPr>
              <w:t>36,030.00</w:t>
            </w:r>
          </w:p>
        </w:tc>
        <w:tc>
          <w:tcPr>
            <w:tcW w:w="1418" w:type="dxa"/>
            <w:vAlign w:val="center"/>
          </w:tcPr>
          <w:p w14:paraId="6634DFDD">
            <w:pPr>
              <w:pStyle w:val="15"/>
              <w:spacing w:before="1"/>
              <w:ind w:right="239"/>
              <w:jc w:val="center"/>
              <w:rPr>
                <w:rFonts w:hint="eastAsia" w:ascii="仿宋" w:hAnsi="仿宋" w:eastAsia="仿宋"/>
                <w:w w:val="102"/>
                <w:sz w:val="21"/>
                <w:szCs w:val="21"/>
              </w:rPr>
            </w:pPr>
            <w:r>
              <w:rPr>
                <w:rFonts w:ascii="仿宋" w:hAnsi="仿宋" w:eastAsia="仿宋"/>
                <w:w w:val="102"/>
                <w:sz w:val="21"/>
                <w:szCs w:val="21"/>
              </w:rPr>
              <w:t>36,030.00</w:t>
            </w:r>
          </w:p>
        </w:tc>
        <w:tc>
          <w:tcPr>
            <w:tcW w:w="1008" w:type="dxa"/>
            <w:vAlign w:val="center"/>
          </w:tcPr>
          <w:p w14:paraId="157D0B76">
            <w:pPr>
              <w:pStyle w:val="15"/>
              <w:spacing w:before="1"/>
              <w:ind w:right="65"/>
              <w:jc w:val="center"/>
              <w:rPr>
                <w:rFonts w:hint="eastAsia" w:ascii="仿宋" w:hAnsi="仿宋" w:eastAsia="仿宋"/>
                <w:w w:val="102"/>
                <w:sz w:val="21"/>
                <w:szCs w:val="21"/>
              </w:rPr>
            </w:pPr>
            <w:r>
              <w:rPr>
                <w:rFonts w:ascii="仿宋" w:hAnsi="仿宋" w:eastAsia="仿宋"/>
                <w:w w:val="102"/>
                <w:sz w:val="21"/>
                <w:szCs w:val="21"/>
              </w:rPr>
              <w:t>0.00</w:t>
            </w:r>
          </w:p>
        </w:tc>
        <w:tc>
          <w:tcPr>
            <w:tcW w:w="1276" w:type="dxa"/>
            <w:vAlign w:val="center"/>
          </w:tcPr>
          <w:p w14:paraId="792D701A">
            <w:pPr>
              <w:pStyle w:val="15"/>
              <w:spacing w:before="1"/>
              <w:ind w:right="154"/>
              <w:jc w:val="center"/>
              <w:rPr>
                <w:rFonts w:hint="eastAsia" w:ascii="仿宋" w:hAnsi="仿宋" w:eastAsia="仿宋"/>
                <w:w w:val="102"/>
                <w:sz w:val="21"/>
                <w:szCs w:val="21"/>
              </w:rPr>
            </w:pPr>
            <w:r>
              <w:rPr>
                <w:rFonts w:ascii="仿宋" w:hAnsi="仿宋" w:eastAsia="仿宋"/>
                <w:w w:val="102"/>
                <w:sz w:val="21"/>
                <w:szCs w:val="21"/>
              </w:rPr>
              <w:t>35,092.07</w:t>
            </w:r>
          </w:p>
        </w:tc>
        <w:tc>
          <w:tcPr>
            <w:tcW w:w="1417" w:type="dxa"/>
            <w:vAlign w:val="center"/>
          </w:tcPr>
          <w:p w14:paraId="5F328529">
            <w:pPr>
              <w:pStyle w:val="15"/>
              <w:spacing w:before="1"/>
              <w:ind w:left="212" w:right="87"/>
              <w:jc w:val="center"/>
              <w:rPr>
                <w:rFonts w:hint="eastAsia" w:ascii="仿宋" w:hAnsi="仿宋" w:eastAsia="仿宋"/>
                <w:w w:val="102"/>
                <w:sz w:val="21"/>
                <w:szCs w:val="21"/>
              </w:rPr>
            </w:pPr>
            <w:r>
              <w:rPr>
                <w:rFonts w:ascii="仿宋" w:hAnsi="仿宋" w:eastAsia="仿宋"/>
                <w:w w:val="102"/>
                <w:sz w:val="21"/>
                <w:szCs w:val="21"/>
              </w:rPr>
              <w:t>97.40</w:t>
            </w:r>
          </w:p>
        </w:tc>
        <w:tc>
          <w:tcPr>
            <w:tcW w:w="1701" w:type="dxa"/>
            <w:vAlign w:val="center"/>
          </w:tcPr>
          <w:p w14:paraId="302B6F81">
            <w:pPr>
              <w:pStyle w:val="15"/>
              <w:spacing w:before="1" w:line="254" w:lineRule="exact"/>
              <w:ind w:left="52" w:right="33"/>
              <w:jc w:val="center"/>
              <w:rPr>
                <w:rFonts w:hint="eastAsia" w:ascii="仿宋" w:hAnsi="仿宋" w:eastAsia="仿宋"/>
                <w:w w:val="102"/>
                <w:sz w:val="21"/>
                <w:szCs w:val="21"/>
              </w:rPr>
            </w:pPr>
            <w:r>
              <w:rPr>
                <w:rFonts w:ascii="仿宋" w:hAnsi="仿宋" w:eastAsia="仿宋"/>
                <w:w w:val="102"/>
                <w:sz w:val="21"/>
                <w:szCs w:val="21"/>
              </w:rPr>
              <w:t>2016年10月1日</w:t>
            </w:r>
          </w:p>
        </w:tc>
        <w:tc>
          <w:tcPr>
            <w:tcW w:w="1276" w:type="dxa"/>
            <w:vAlign w:val="center"/>
          </w:tcPr>
          <w:p w14:paraId="0D617A23">
            <w:pPr>
              <w:pStyle w:val="15"/>
              <w:spacing w:before="1"/>
              <w:ind w:left="123" w:right="10"/>
              <w:jc w:val="center"/>
              <w:rPr>
                <w:rFonts w:hint="eastAsia" w:ascii="仿宋" w:hAnsi="仿宋" w:eastAsia="仿宋"/>
                <w:w w:val="102"/>
                <w:sz w:val="21"/>
                <w:szCs w:val="21"/>
              </w:rPr>
            </w:pPr>
            <w:r>
              <w:rPr>
                <w:rFonts w:hint="eastAsia" w:ascii="仿宋" w:hAnsi="仿宋" w:eastAsia="仿宋"/>
                <w:w w:val="102"/>
                <w:sz w:val="21"/>
                <w:szCs w:val="21"/>
              </w:rPr>
              <w:t>347.61</w:t>
            </w:r>
          </w:p>
        </w:tc>
        <w:tc>
          <w:tcPr>
            <w:tcW w:w="850" w:type="dxa"/>
            <w:vAlign w:val="center"/>
          </w:tcPr>
          <w:p w14:paraId="6F97551F">
            <w:pPr>
              <w:pStyle w:val="15"/>
              <w:spacing w:before="1"/>
              <w:ind w:left="13"/>
              <w:jc w:val="center"/>
              <w:rPr>
                <w:rFonts w:hint="eastAsia" w:ascii="仿宋" w:hAnsi="仿宋" w:eastAsia="仿宋"/>
                <w:w w:val="102"/>
                <w:sz w:val="21"/>
                <w:szCs w:val="21"/>
              </w:rPr>
            </w:pPr>
            <w:r>
              <w:rPr>
                <w:rFonts w:ascii="仿宋" w:hAnsi="仿宋" w:eastAsia="仿宋"/>
                <w:w w:val="102"/>
                <w:sz w:val="21"/>
                <w:szCs w:val="21"/>
              </w:rPr>
              <w:t>否</w:t>
            </w:r>
          </w:p>
        </w:tc>
        <w:tc>
          <w:tcPr>
            <w:tcW w:w="1215" w:type="dxa"/>
            <w:vAlign w:val="center"/>
          </w:tcPr>
          <w:p w14:paraId="1BA9803F">
            <w:pPr>
              <w:pStyle w:val="15"/>
              <w:spacing w:before="1"/>
              <w:ind w:right="373"/>
              <w:jc w:val="center"/>
              <w:rPr>
                <w:rFonts w:hint="eastAsia" w:ascii="仿宋" w:hAnsi="仿宋" w:eastAsia="仿宋"/>
                <w:w w:val="102"/>
                <w:sz w:val="20"/>
              </w:rPr>
            </w:pPr>
            <w:r>
              <w:rPr>
                <w:rFonts w:ascii="仿宋" w:hAnsi="仿宋" w:eastAsia="仿宋"/>
                <w:w w:val="102"/>
                <w:sz w:val="20"/>
              </w:rPr>
              <w:t>否</w:t>
            </w:r>
          </w:p>
        </w:tc>
      </w:tr>
      <w:tr w14:paraId="3FE16DC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77" w:hRule="atLeast"/>
        </w:trPr>
        <w:tc>
          <w:tcPr>
            <w:tcW w:w="1309" w:type="dxa"/>
          </w:tcPr>
          <w:p w14:paraId="1B29A663">
            <w:pPr>
              <w:pStyle w:val="15"/>
              <w:spacing w:line="247" w:lineRule="exact"/>
              <w:ind w:left="112"/>
              <w:rPr>
                <w:rFonts w:hint="eastAsia" w:ascii="仿宋" w:hAnsi="仿宋" w:eastAsia="仿宋"/>
                <w:sz w:val="20"/>
              </w:rPr>
            </w:pPr>
            <w:r>
              <w:rPr>
                <w:rFonts w:ascii="仿宋" w:hAnsi="仿宋" w:eastAsia="仿宋"/>
                <w:spacing w:val="6"/>
                <w:sz w:val="20"/>
              </w:rPr>
              <w:t>4</w:t>
            </w:r>
            <w:r>
              <w:rPr>
                <w:rFonts w:ascii="仿宋" w:hAnsi="仿宋" w:eastAsia="仿宋"/>
                <w:spacing w:val="-9"/>
                <w:sz w:val="20"/>
              </w:rPr>
              <w:t>、吉林长岭</w:t>
            </w:r>
            <w:r>
              <w:rPr>
                <w:rFonts w:ascii="仿宋" w:hAnsi="仿宋" w:eastAsia="仿宋"/>
                <w:spacing w:val="-4"/>
                <w:sz w:val="20"/>
              </w:rPr>
              <w:t>三十号风电场二期工程</w:t>
            </w:r>
          </w:p>
        </w:tc>
        <w:tc>
          <w:tcPr>
            <w:tcW w:w="851" w:type="dxa"/>
            <w:vAlign w:val="center"/>
          </w:tcPr>
          <w:p w14:paraId="27E0D319">
            <w:pPr>
              <w:pStyle w:val="15"/>
              <w:spacing w:before="1"/>
              <w:ind w:right="207"/>
              <w:jc w:val="center"/>
              <w:rPr>
                <w:rFonts w:hint="eastAsia" w:ascii="仿宋" w:hAnsi="仿宋" w:eastAsia="仿宋"/>
                <w:w w:val="102"/>
                <w:sz w:val="21"/>
                <w:szCs w:val="21"/>
              </w:rPr>
            </w:pPr>
            <w:r>
              <w:rPr>
                <w:rFonts w:ascii="仿宋" w:hAnsi="仿宋" w:eastAsia="仿宋"/>
                <w:w w:val="102"/>
                <w:sz w:val="21"/>
                <w:szCs w:val="21"/>
              </w:rPr>
              <w:t>否</w:t>
            </w:r>
          </w:p>
        </w:tc>
        <w:tc>
          <w:tcPr>
            <w:tcW w:w="1260" w:type="dxa"/>
            <w:vAlign w:val="center"/>
          </w:tcPr>
          <w:p w14:paraId="770F2338">
            <w:pPr>
              <w:pStyle w:val="15"/>
              <w:spacing w:before="1"/>
              <w:ind w:right="155"/>
              <w:jc w:val="center"/>
              <w:rPr>
                <w:rFonts w:hint="eastAsia" w:ascii="仿宋" w:hAnsi="仿宋" w:eastAsia="仿宋"/>
                <w:w w:val="102"/>
                <w:sz w:val="21"/>
                <w:szCs w:val="21"/>
              </w:rPr>
            </w:pPr>
            <w:r>
              <w:rPr>
                <w:rFonts w:ascii="仿宋" w:hAnsi="仿宋" w:eastAsia="仿宋"/>
                <w:w w:val="102"/>
                <w:sz w:val="21"/>
                <w:szCs w:val="21"/>
              </w:rPr>
              <w:t>35,374.00</w:t>
            </w:r>
          </w:p>
        </w:tc>
        <w:tc>
          <w:tcPr>
            <w:tcW w:w="1418" w:type="dxa"/>
            <w:vAlign w:val="center"/>
          </w:tcPr>
          <w:p w14:paraId="1AC723F1">
            <w:pPr>
              <w:pStyle w:val="15"/>
              <w:spacing w:before="1"/>
              <w:ind w:right="239"/>
              <w:jc w:val="center"/>
              <w:rPr>
                <w:rFonts w:hint="eastAsia" w:ascii="仿宋" w:hAnsi="仿宋" w:eastAsia="仿宋"/>
                <w:w w:val="102"/>
                <w:sz w:val="21"/>
                <w:szCs w:val="21"/>
              </w:rPr>
            </w:pPr>
            <w:r>
              <w:rPr>
                <w:rFonts w:ascii="仿宋" w:hAnsi="仿宋" w:eastAsia="仿宋"/>
                <w:w w:val="102"/>
                <w:sz w:val="21"/>
                <w:szCs w:val="21"/>
              </w:rPr>
              <w:t>35,374.00</w:t>
            </w:r>
          </w:p>
        </w:tc>
        <w:tc>
          <w:tcPr>
            <w:tcW w:w="1008" w:type="dxa"/>
            <w:vAlign w:val="center"/>
          </w:tcPr>
          <w:p w14:paraId="64BA8D1F">
            <w:pPr>
              <w:pStyle w:val="15"/>
              <w:spacing w:before="1"/>
              <w:ind w:right="65"/>
              <w:jc w:val="center"/>
              <w:rPr>
                <w:rFonts w:hint="eastAsia" w:ascii="仿宋" w:hAnsi="仿宋" w:eastAsia="仿宋"/>
                <w:w w:val="102"/>
                <w:sz w:val="21"/>
                <w:szCs w:val="21"/>
              </w:rPr>
            </w:pPr>
            <w:r>
              <w:rPr>
                <w:rFonts w:ascii="仿宋" w:hAnsi="仿宋" w:eastAsia="仿宋"/>
                <w:w w:val="102"/>
                <w:sz w:val="21"/>
                <w:szCs w:val="21"/>
              </w:rPr>
              <w:t>0.00</w:t>
            </w:r>
          </w:p>
        </w:tc>
        <w:tc>
          <w:tcPr>
            <w:tcW w:w="1276" w:type="dxa"/>
            <w:vAlign w:val="center"/>
          </w:tcPr>
          <w:p w14:paraId="63C4BD6B">
            <w:pPr>
              <w:pStyle w:val="15"/>
              <w:spacing w:before="1"/>
              <w:ind w:right="154"/>
              <w:jc w:val="center"/>
              <w:rPr>
                <w:rFonts w:hint="eastAsia" w:ascii="仿宋" w:hAnsi="仿宋" w:eastAsia="仿宋"/>
                <w:w w:val="102"/>
                <w:sz w:val="21"/>
                <w:szCs w:val="21"/>
              </w:rPr>
            </w:pPr>
            <w:r>
              <w:rPr>
                <w:rFonts w:ascii="仿宋" w:hAnsi="仿宋" w:eastAsia="仿宋"/>
                <w:w w:val="102"/>
                <w:sz w:val="21"/>
                <w:szCs w:val="21"/>
              </w:rPr>
              <w:t>30,833.56</w:t>
            </w:r>
          </w:p>
        </w:tc>
        <w:tc>
          <w:tcPr>
            <w:tcW w:w="1417" w:type="dxa"/>
            <w:vAlign w:val="center"/>
          </w:tcPr>
          <w:p w14:paraId="0DA3A5F0">
            <w:pPr>
              <w:pStyle w:val="15"/>
              <w:spacing w:before="1"/>
              <w:ind w:left="212" w:right="87"/>
              <w:jc w:val="center"/>
              <w:rPr>
                <w:rFonts w:hint="eastAsia" w:ascii="仿宋" w:hAnsi="仿宋" w:eastAsia="仿宋"/>
                <w:w w:val="102"/>
                <w:sz w:val="21"/>
                <w:szCs w:val="21"/>
              </w:rPr>
            </w:pPr>
            <w:r>
              <w:rPr>
                <w:rFonts w:ascii="仿宋" w:hAnsi="仿宋" w:eastAsia="仿宋"/>
                <w:w w:val="102"/>
                <w:sz w:val="21"/>
                <w:szCs w:val="21"/>
              </w:rPr>
              <w:t>87.16</w:t>
            </w:r>
          </w:p>
        </w:tc>
        <w:tc>
          <w:tcPr>
            <w:tcW w:w="1701" w:type="dxa"/>
            <w:vAlign w:val="center"/>
          </w:tcPr>
          <w:p w14:paraId="5A21A986">
            <w:pPr>
              <w:pStyle w:val="15"/>
              <w:spacing w:before="1" w:line="254" w:lineRule="exact"/>
              <w:ind w:left="52" w:right="33"/>
              <w:jc w:val="center"/>
              <w:rPr>
                <w:rFonts w:hint="eastAsia" w:ascii="仿宋" w:hAnsi="仿宋" w:eastAsia="仿宋"/>
                <w:w w:val="102"/>
                <w:sz w:val="21"/>
                <w:szCs w:val="21"/>
              </w:rPr>
            </w:pPr>
            <w:r>
              <w:rPr>
                <w:rFonts w:ascii="仿宋" w:hAnsi="仿宋" w:eastAsia="仿宋"/>
                <w:w w:val="102"/>
                <w:sz w:val="21"/>
                <w:szCs w:val="21"/>
              </w:rPr>
              <w:t>2016年6月1日</w:t>
            </w:r>
          </w:p>
        </w:tc>
        <w:tc>
          <w:tcPr>
            <w:tcW w:w="1276" w:type="dxa"/>
            <w:vAlign w:val="center"/>
          </w:tcPr>
          <w:p w14:paraId="58716281">
            <w:pPr>
              <w:pStyle w:val="15"/>
              <w:spacing w:before="1"/>
              <w:ind w:left="123" w:right="10"/>
              <w:jc w:val="center"/>
              <w:rPr>
                <w:rFonts w:hint="eastAsia" w:ascii="仿宋" w:hAnsi="仿宋" w:eastAsia="仿宋"/>
                <w:w w:val="102"/>
                <w:sz w:val="21"/>
                <w:szCs w:val="21"/>
              </w:rPr>
            </w:pPr>
            <w:r>
              <w:rPr>
                <w:rFonts w:hint="eastAsia" w:ascii="仿宋" w:hAnsi="仿宋" w:eastAsia="仿宋"/>
                <w:w w:val="102"/>
                <w:sz w:val="21"/>
                <w:szCs w:val="21"/>
              </w:rPr>
              <w:t>355.10</w:t>
            </w:r>
          </w:p>
        </w:tc>
        <w:tc>
          <w:tcPr>
            <w:tcW w:w="850" w:type="dxa"/>
            <w:vAlign w:val="center"/>
          </w:tcPr>
          <w:p w14:paraId="10DCCD20">
            <w:pPr>
              <w:pStyle w:val="15"/>
              <w:spacing w:before="1"/>
              <w:ind w:left="13"/>
              <w:jc w:val="center"/>
              <w:rPr>
                <w:rFonts w:hint="eastAsia" w:ascii="仿宋" w:hAnsi="仿宋" w:eastAsia="仿宋"/>
                <w:w w:val="102"/>
                <w:sz w:val="21"/>
                <w:szCs w:val="21"/>
              </w:rPr>
            </w:pPr>
            <w:r>
              <w:rPr>
                <w:rFonts w:ascii="仿宋" w:hAnsi="仿宋" w:eastAsia="仿宋"/>
                <w:w w:val="102"/>
                <w:sz w:val="21"/>
                <w:szCs w:val="21"/>
              </w:rPr>
              <w:t>否</w:t>
            </w:r>
          </w:p>
        </w:tc>
        <w:tc>
          <w:tcPr>
            <w:tcW w:w="1215" w:type="dxa"/>
            <w:vAlign w:val="center"/>
          </w:tcPr>
          <w:p w14:paraId="01B60B70">
            <w:pPr>
              <w:pStyle w:val="15"/>
              <w:spacing w:before="1"/>
              <w:ind w:right="373"/>
              <w:jc w:val="center"/>
              <w:rPr>
                <w:rFonts w:hint="eastAsia" w:ascii="仿宋" w:hAnsi="仿宋" w:eastAsia="仿宋"/>
                <w:w w:val="102"/>
                <w:sz w:val="20"/>
              </w:rPr>
            </w:pPr>
            <w:r>
              <w:rPr>
                <w:rFonts w:ascii="仿宋" w:hAnsi="仿宋" w:eastAsia="仿宋"/>
                <w:w w:val="102"/>
                <w:sz w:val="20"/>
              </w:rPr>
              <w:t>否</w:t>
            </w:r>
          </w:p>
        </w:tc>
      </w:tr>
      <w:tr w14:paraId="7B467FC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77" w:hRule="atLeast"/>
        </w:trPr>
        <w:tc>
          <w:tcPr>
            <w:tcW w:w="1309" w:type="dxa"/>
          </w:tcPr>
          <w:p w14:paraId="463C4315">
            <w:pPr>
              <w:pStyle w:val="15"/>
              <w:spacing w:line="247" w:lineRule="exact"/>
              <w:ind w:left="112"/>
              <w:rPr>
                <w:rFonts w:hint="eastAsia" w:ascii="仿宋" w:hAnsi="仿宋" w:eastAsia="仿宋"/>
                <w:sz w:val="20"/>
              </w:rPr>
            </w:pPr>
            <w:r>
              <w:rPr>
                <w:rFonts w:ascii="仿宋" w:hAnsi="仿宋" w:eastAsia="仿宋"/>
                <w:sz w:val="20"/>
              </w:rPr>
              <w:t>5、河南省辉县市南旋风风电场工程</w:t>
            </w:r>
          </w:p>
        </w:tc>
        <w:tc>
          <w:tcPr>
            <w:tcW w:w="851" w:type="dxa"/>
            <w:vAlign w:val="center"/>
          </w:tcPr>
          <w:p w14:paraId="10E64F6E">
            <w:pPr>
              <w:pStyle w:val="15"/>
              <w:spacing w:before="1"/>
              <w:ind w:right="207"/>
              <w:jc w:val="center"/>
              <w:rPr>
                <w:rFonts w:hint="eastAsia" w:ascii="仿宋" w:hAnsi="仿宋" w:eastAsia="仿宋"/>
                <w:w w:val="102"/>
                <w:sz w:val="21"/>
                <w:szCs w:val="21"/>
              </w:rPr>
            </w:pPr>
            <w:r>
              <w:rPr>
                <w:rFonts w:ascii="仿宋" w:hAnsi="仿宋" w:eastAsia="仿宋"/>
                <w:w w:val="102"/>
                <w:sz w:val="21"/>
                <w:szCs w:val="21"/>
              </w:rPr>
              <w:t>否</w:t>
            </w:r>
          </w:p>
        </w:tc>
        <w:tc>
          <w:tcPr>
            <w:tcW w:w="1260" w:type="dxa"/>
            <w:vAlign w:val="center"/>
          </w:tcPr>
          <w:p w14:paraId="6E81D76B">
            <w:pPr>
              <w:pStyle w:val="15"/>
              <w:spacing w:before="1"/>
              <w:ind w:right="155"/>
              <w:jc w:val="center"/>
              <w:rPr>
                <w:rFonts w:hint="eastAsia" w:ascii="仿宋" w:hAnsi="仿宋" w:eastAsia="仿宋"/>
                <w:w w:val="102"/>
                <w:sz w:val="21"/>
                <w:szCs w:val="21"/>
              </w:rPr>
            </w:pPr>
            <w:r>
              <w:rPr>
                <w:rFonts w:ascii="仿宋" w:hAnsi="仿宋" w:eastAsia="仿宋"/>
                <w:w w:val="102"/>
                <w:sz w:val="21"/>
                <w:szCs w:val="21"/>
              </w:rPr>
              <w:t>81,348.00</w:t>
            </w:r>
          </w:p>
        </w:tc>
        <w:tc>
          <w:tcPr>
            <w:tcW w:w="1418" w:type="dxa"/>
            <w:vAlign w:val="center"/>
          </w:tcPr>
          <w:p w14:paraId="06322760">
            <w:pPr>
              <w:pStyle w:val="15"/>
              <w:spacing w:before="1"/>
              <w:ind w:right="239"/>
              <w:jc w:val="center"/>
              <w:rPr>
                <w:rFonts w:hint="eastAsia" w:ascii="仿宋" w:hAnsi="仿宋" w:eastAsia="仿宋"/>
                <w:w w:val="102"/>
                <w:sz w:val="21"/>
                <w:szCs w:val="21"/>
              </w:rPr>
            </w:pPr>
            <w:r>
              <w:rPr>
                <w:rFonts w:ascii="仿宋" w:hAnsi="仿宋" w:eastAsia="仿宋"/>
                <w:w w:val="102"/>
                <w:sz w:val="21"/>
                <w:szCs w:val="21"/>
              </w:rPr>
              <w:t>81,348.00</w:t>
            </w:r>
          </w:p>
        </w:tc>
        <w:tc>
          <w:tcPr>
            <w:tcW w:w="1008" w:type="dxa"/>
            <w:vAlign w:val="center"/>
          </w:tcPr>
          <w:p w14:paraId="4D1D38F5">
            <w:pPr>
              <w:pStyle w:val="15"/>
              <w:spacing w:before="1"/>
              <w:ind w:right="65"/>
              <w:jc w:val="center"/>
              <w:rPr>
                <w:rFonts w:hint="eastAsia" w:ascii="仿宋" w:hAnsi="仿宋" w:eastAsia="仿宋"/>
                <w:w w:val="102"/>
                <w:sz w:val="21"/>
                <w:szCs w:val="21"/>
              </w:rPr>
            </w:pPr>
            <w:r>
              <w:rPr>
                <w:rFonts w:hint="eastAsia" w:ascii="仿宋" w:hAnsi="仿宋" w:eastAsia="仿宋"/>
                <w:sz w:val="21"/>
                <w:szCs w:val="21"/>
              </w:rPr>
              <w:t>274.15</w:t>
            </w:r>
          </w:p>
        </w:tc>
        <w:tc>
          <w:tcPr>
            <w:tcW w:w="1276" w:type="dxa"/>
            <w:vAlign w:val="center"/>
          </w:tcPr>
          <w:p w14:paraId="751EF9D9">
            <w:pPr>
              <w:pStyle w:val="15"/>
              <w:spacing w:before="1"/>
              <w:ind w:right="154"/>
              <w:jc w:val="center"/>
              <w:rPr>
                <w:rFonts w:hint="eastAsia" w:ascii="仿宋" w:hAnsi="仿宋" w:eastAsia="仿宋"/>
                <w:w w:val="102"/>
                <w:sz w:val="21"/>
                <w:szCs w:val="21"/>
              </w:rPr>
            </w:pPr>
            <w:r>
              <w:rPr>
                <w:rFonts w:hint="eastAsia" w:ascii="仿宋" w:hAnsi="仿宋" w:eastAsia="仿宋"/>
                <w:w w:val="102"/>
                <w:sz w:val="21"/>
                <w:szCs w:val="21"/>
              </w:rPr>
              <w:t>70,559.27</w:t>
            </w:r>
          </w:p>
        </w:tc>
        <w:tc>
          <w:tcPr>
            <w:tcW w:w="1417" w:type="dxa"/>
            <w:vAlign w:val="center"/>
          </w:tcPr>
          <w:p w14:paraId="4063FAC9">
            <w:pPr>
              <w:pStyle w:val="15"/>
              <w:spacing w:before="1"/>
              <w:ind w:left="212" w:right="87"/>
              <w:jc w:val="center"/>
              <w:rPr>
                <w:rFonts w:hint="eastAsia" w:ascii="仿宋" w:hAnsi="仿宋" w:eastAsia="仿宋"/>
                <w:w w:val="102"/>
                <w:sz w:val="21"/>
                <w:szCs w:val="21"/>
              </w:rPr>
            </w:pPr>
            <w:r>
              <w:rPr>
                <w:rFonts w:ascii="仿宋" w:hAnsi="仿宋" w:eastAsia="仿宋"/>
                <w:w w:val="102"/>
                <w:sz w:val="21"/>
                <w:szCs w:val="21"/>
              </w:rPr>
              <w:t>8</w:t>
            </w:r>
            <w:r>
              <w:rPr>
                <w:rFonts w:hint="eastAsia" w:ascii="仿宋" w:hAnsi="仿宋" w:eastAsia="仿宋"/>
                <w:w w:val="102"/>
                <w:sz w:val="21"/>
                <w:szCs w:val="21"/>
              </w:rPr>
              <w:t>6</w:t>
            </w:r>
            <w:r>
              <w:rPr>
                <w:rFonts w:ascii="仿宋" w:hAnsi="仿宋" w:eastAsia="仿宋"/>
                <w:w w:val="102"/>
                <w:sz w:val="21"/>
                <w:szCs w:val="21"/>
              </w:rPr>
              <w:t>.</w:t>
            </w:r>
            <w:r>
              <w:rPr>
                <w:rFonts w:hint="eastAsia" w:ascii="仿宋" w:hAnsi="仿宋" w:eastAsia="仿宋"/>
                <w:w w:val="102"/>
                <w:sz w:val="21"/>
                <w:szCs w:val="21"/>
              </w:rPr>
              <w:t>74</w:t>
            </w:r>
          </w:p>
        </w:tc>
        <w:tc>
          <w:tcPr>
            <w:tcW w:w="1701" w:type="dxa"/>
            <w:vAlign w:val="center"/>
          </w:tcPr>
          <w:p w14:paraId="5698BBB9">
            <w:pPr>
              <w:pStyle w:val="15"/>
              <w:spacing w:before="1" w:line="254" w:lineRule="exact"/>
              <w:ind w:left="52" w:right="33"/>
              <w:jc w:val="center"/>
              <w:rPr>
                <w:rFonts w:hint="eastAsia" w:ascii="仿宋" w:hAnsi="仿宋" w:eastAsia="仿宋"/>
                <w:w w:val="102"/>
                <w:sz w:val="21"/>
                <w:szCs w:val="21"/>
              </w:rPr>
            </w:pPr>
            <w:r>
              <w:rPr>
                <w:rFonts w:ascii="仿宋" w:hAnsi="仿宋" w:eastAsia="仿宋"/>
                <w:w w:val="102"/>
                <w:sz w:val="21"/>
                <w:szCs w:val="21"/>
              </w:rPr>
              <w:t>2018年1月1日</w:t>
            </w:r>
          </w:p>
        </w:tc>
        <w:tc>
          <w:tcPr>
            <w:tcW w:w="1276" w:type="dxa"/>
            <w:vAlign w:val="center"/>
          </w:tcPr>
          <w:p w14:paraId="3C6685B8">
            <w:pPr>
              <w:pStyle w:val="15"/>
              <w:spacing w:before="1"/>
              <w:ind w:left="123" w:right="10"/>
              <w:jc w:val="center"/>
              <w:rPr>
                <w:rFonts w:hint="eastAsia" w:ascii="仿宋" w:hAnsi="仿宋" w:eastAsia="仿宋"/>
                <w:w w:val="102"/>
                <w:sz w:val="21"/>
                <w:szCs w:val="21"/>
              </w:rPr>
            </w:pPr>
            <w:r>
              <w:rPr>
                <w:rFonts w:hint="eastAsia" w:ascii="仿宋" w:hAnsi="仿宋" w:eastAsia="仿宋"/>
                <w:w w:val="102"/>
                <w:sz w:val="21"/>
                <w:szCs w:val="21"/>
              </w:rPr>
              <w:t>2,544.34</w:t>
            </w:r>
          </w:p>
        </w:tc>
        <w:tc>
          <w:tcPr>
            <w:tcW w:w="850" w:type="dxa"/>
            <w:vAlign w:val="center"/>
          </w:tcPr>
          <w:p w14:paraId="4424B1B2">
            <w:pPr>
              <w:pStyle w:val="15"/>
              <w:spacing w:before="1"/>
              <w:ind w:left="13"/>
              <w:jc w:val="center"/>
              <w:rPr>
                <w:rFonts w:hint="eastAsia" w:ascii="仿宋" w:hAnsi="仿宋" w:eastAsia="仿宋"/>
                <w:w w:val="102"/>
                <w:sz w:val="21"/>
                <w:szCs w:val="21"/>
              </w:rPr>
            </w:pPr>
            <w:r>
              <w:rPr>
                <w:rFonts w:ascii="仿宋" w:hAnsi="仿宋" w:eastAsia="仿宋"/>
                <w:w w:val="102"/>
                <w:sz w:val="20"/>
              </w:rPr>
              <w:t>是</w:t>
            </w:r>
          </w:p>
        </w:tc>
        <w:tc>
          <w:tcPr>
            <w:tcW w:w="1215" w:type="dxa"/>
            <w:vAlign w:val="center"/>
          </w:tcPr>
          <w:p w14:paraId="4EC1C8F0">
            <w:pPr>
              <w:pStyle w:val="15"/>
              <w:spacing w:before="1"/>
              <w:ind w:right="373"/>
              <w:jc w:val="center"/>
              <w:rPr>
                <w:rFonts w:hint="eastAsia" w:ascii="仿宋" w:hAnsi="仿宋" w:eastAsia="仿宋"/>
                <w:w w:val="102"/>
                <w:sz w:val="20"/>
              </w:rPr>
            </w:pPr>
            <w:r>
              <w:rPr>
                <w:rFonts w:ascii="仿宋" w:hAnsi="仿宋" w:eastAsia="仿宋"/>
                <w:w w:val="102"/>
                <w:sz w:val="20"/>
              </w:rPr>
              <w:t>否</w:t>
            </w:r>
          </w:p>
        </w:tc>
      </w:tr>
      <w:tr w14:paraId="1E3D0F6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77" w:hRule="atLeast"/>
        </w:trPr>
        <w:tc>
          <w:tcPr>
            <w:tcW w:w="1309" w:type="dxa"/>
          </w:tcPr>
          <w:p w14:paraId="5AA08793">
            <w:pPr>
              <w:pStyle w:val="15"/>
              <w:spacing w:line="247" w:lineRule="exact"/>
              <w:ind w:left="112"/>
              <w:rPr>
                <w:rFonts w:hint="eastAsia" w:ascii="仿宋" w:hAnsi="仿宋" w:eastAsia="仿宋"/>
                <w:sz w:val="20"/>
              </w:rPr>
            </w:pPr>
            <w:r>
              <w:rPr>
                <w:rFonts w:ascii="仿宋" w:hAnsi="仿宋" w:eastAsia="仿宋"/>
                <w:sz w:val="20"/>
              </w:rPr>
              <w:t>6、收购三塘湖99MW风电并网发电项目</w:t>
            </w:r>
          </w:p>
        </w:tc>
        <w:tc>
          <w:tcPr>
            <w:tcW w:w="851" w:type="dxa"/>
            <w:vAlign w:val="center"/>
          </w:tcPr>
          <w:p w14:paraId="5B7DF887">
            <w:pPr>
              <w:pStyle w:val="15"/>
              <w:spacing w:before="1"/>
              <w:ind w:right="207"/>
              <w:jc w:val="center"/>
              <w:rPr>
                <w:rFonts w:hint="eastAsia" w:ascii="仿宋" w:hAnsi="仿宋" w:eastAsia="仿宋"/>
                <w:w w:val="102"/>
                <w:sz w:val="21"/>
                <w:szCs w:val="21"/>
              </w:rPr>
            </w:pPr>
            <w:r>
              <w:rPr>
                <w:rFonts w:ascii="仿宋" w:hAnsi="仿宋" w:eastAsia="仿宋"/>
                <w:w w:val="102"/>
                <w:sz w:val="21"/>
                <w:szCs w:val="21"/>
              </w:rPr>
              <w:t>否</w:t>
            </w:r>
          </w:p>
        </w:tc>
        <w:tc>
          <w:tcPr>
            <w:tcW w:w="1260" w:type="dxa"/>
            <w:vAlign w:val="center"/>
          </w:tcPr>
          <w:p w14:paraId="0AB442FD">
            <w:pPr>
              <w:pStyle w:val="15"/>
              <w:spacing w:before="1"/>
              <w:ind w:right="155"/>
              <w:jc w:val="center"/>
              <w:rPr>
                <w:rFonts w:hint="eastAsia" w:ascii="仿宋" w:hAnsi="仿宋" w:eastAsia="仿宋"/>
                <w:w w:val="102"/>
                <w:sz w:val="21"/>
                <w:szCs w:val="21"/>
              </w:rPr>
            </w:pPr>
            <w:r>
              <w:rPr>
                <w:rFonts w:ascii="仿宋" w:hAnsi="仿宋" w:eastAsia="仿宋"/>
                <w:sz w:val="21"/>
                <w:szCs w:val="21"/>
              </w:rPr>
              <w:t>23,114.00</w:t>
            </w:r>
          </w:p>
        </w:tc>
        <w:tc>
          <w:tcPr>
            <w:tcW w:w="1418" w:type="dxa"/>
            <w:vAlign w:val="center"/>
          </w:tcPr>
          <w:p w14:paraId="407AA59F">
            <w:pPr>
              <w:pStyle w:val="15"/>
              <w:spacing w:before="1"/>
              <w:ind w:right="239"/>
              <w:jc w:val="center"/>
              <w:rPr>
                <w:rFonts w:hint="eastAsia" w:ascii="仿宋" w:hAnsi="仿宋" w:eastAsia="仿宋"/>
                <w:w w:val="102"/>
                <w:sz w:val="21"/>
                <w:szCs w:val="21"/>
              </w:rPr>
            </w:pPr>
            <w:r>
              <w:rPr>
                <w:rFonts w:ascii="仿宋" w:hAnsi="仿宋" w:eastAsia="仿宋"/>
                <w:sz w:val="21"/>
                <w:szCs w:val="21"/>
              </w:rPr>
              <w:t>23,114.00</w:t>
            </w:r>
          </w:p>
        </w:tc>
        <w:tc>
          <w:tcPr>
            <w:tcW w:w="1008" w:type="dxa"/>
            <w:vAlign w:val="center"/>
          </w:tcPr>
          <w:p w14:paraId="3C30AA11">
            <w:pPr>
              <w:pStyle w:val="15"/>
              <w:spacing w:before="1"/>
              <w:ind w:right="65"/>
              <w:jc w:val="center"/>
              <w:rPr>
                <w:rFonts w:hint="eastAsia" w:ascii="仿宋" w:hAnsi="仿宋" w:eastAsia="仿宋"/>
                <w:w w:val="102"/>
                <w:sz w:val="21"/>
                <w:szCs w:val="21"/>
              </w:rPr>
            </w:pPr>
            <w:r>
              <w:rPr>
                <w:rFonts w:ascii="仿宋" w:hAnsi="仿宋" w:eastAsia="仿宋"/>
                <w:sz w:val="21"/>
                <w:szCs w:val="21"/>
              </w:rPr>
              <w:t>0.00</w:t>
            </w:r>
          </w:p>
        </w:tc>
        <w:tc>
          <w:tcPr>
            <w:tcW w:w="1276" w:type="dxa"/>
            <w:vAlign w:val="center"/>
          </w:tcPr>
          <w:p w14:paraId="31F917D5">
            <w:pPr>
              <w:pStyle w:val="15"/>
              <w:spacing w:before="1"/>
              <w:ind w:right="154"/>
              <w:jc w:val="center"/>
              <w:rPr>
                <w:rFonts w:hint="eastAsia" w:ascii="仿宋" w:hAnsi="仿宋" w:eastAsia="仿宋"/>
                <w:w w:val="102"/>
                <w:sz w:val="21"/>
                <w:szCs w:val="21"/>
              </w:rPr>
            </w:pPr>
            <w:r>
              <w:rPr>
                <w:rFonts w:ascii="仿宋" w:hAnsi="仿宋" w:eastAsia="仿宋"/>
                <w:sz w:val="21"/>
                <w:szCs w:val="21"/>
              </w:rPr>
              <w:t>23,115.00</w:t>
            </w:r>
          </w:p>
        </w:tc>
        <w:tc>
          <w:tcPr>
            <w:tcW w:w="1417" w:type="dxa"/>
            <w:vAlign w:val="center"/>
          </w:tcPr>
          <w:p w14:paraId="3C140F0F">
            <w:pPr>
              <w:pStyle w:val="15"/>
              <w:spacing w:before="1"/>
              <w:ind w:left="212" w:right="87"/>
              <w:jc w:val="center"/>
              <w:rPr>
                <w:rFonts w:hint="eastAsia" w:ascii="仿宋" w:hAnsi="仿宋" w:eastAsia="仿宋"/>
                <w:w w:val="102"/>
                <w:sz w:val="21"/>
                <w:szCs w:val="21"/>
              </w:rPr>
            </w:pPr>
            <w:r>
              <w:rPr>
                <w:rFonts w:ascii="仿宋" w:hAnsi="仿宋" w:eastAsia="仿宋"/>
                <w:sz w:val="21"/>
                <w:szCs w:val="21"/>
              </w:rPr>
              <w:t>100.00</w:t>
            </w:r>
          </w:p>
        </w:tc>
        <w:tc>
          <w:tcPr>
            <w:tcW w:w="1701" w:type="dxa"/>
            <w:vAlign w:val="center"/>
          </w:tcPr>
          <w:p w14:paraId="689293A1">
            <w:pPr>
              <w:pStyle w:val="15"/>
              <w:spacing w:before="1" w:line="254" w:lineRule="exact"/>
              <w:ind w:left="52" w:right="33"/>
              <w:jc w:val="center"/>
              <w:rPr>
                <w:rFonts w:hint="eastAsia" w:ascii="仿宋" w:hAnsi="仿宋" w:eastAsia="仿宋"/>
                <w:w w:val="102"/>
                <w:sz w:val="21"/>
                <w:szCs w:val="21"/>
              </w:rPr>
            </w:pPr>
            <w:r>
              <w:rPr>
                <w:rFonts w:ascii="仿宋" w:hAnsi="仿宋" w:eastAsia="仿宋"/>
                <w:sz w:val="21"/>
                <w:szCs w:val="21"/>
              </w:rPr>
              <w:t>2016年6月30日（收购）</w:t>
            </w:r>
          </w:p>
        </w:tc>
        <w:tc>
          <w:tcPr>
            <w:tcW w:w="1276" w:type="dxa"/>
            <w:vAlign w:val="center"/>
          </w:tcPr>
          <w:p w14:paraId="5A3677E1">
            <w:pPr>
              <w:pStyle w:val="15"/>
              <w:spacing w:before="1"/>
              <w:ind w:left="123" w:right="10"/>
              <w:jc w:val="center"/>
              <w:rPr>
                <w:rFonts w:hint="eastAsia" w:ascii="仿宋" w:hAnsi="仿宋" w:eastAsia="仿宋"/>
                <w:w w:val="102"/>
                <w:sz w:val="21"/>
                <w:szCs w:val="21"/>
              </w:rPr>
            </w:pPr>
            <w:r>
              <w:rPr>
                <w:rFonts w:hint="eastAsia" w:ascii="仿宋" w:hAnsi="仿宋" w:eastAsia="仿宋"/>
                <w:sz w:val="21"/>
                <w:szCs w:val="21"/>
              </w:rPr>
              <w:t>468.97</w:t>
            </w:r>
          </w:p>
        </w:tc>
        <w:tc>
          <w:tcPr>
            <w:tcW w:w="850" w:type="dxa"/>
            <w:vAlign w:val="center"/>
          </w:tcPr>
          <w:p w14:paraId="76A1DE42">
            <w:pPr>
              <w:pStyle w:val="15"/>
              <w:spacing w:before="1"/>
              <w:ind w:left="13"/>
              <w:jc w:val="center"/>
              <w:rPr>
                <w:rFonts w:hint="eastAsia" w:ascii="仿宋" w:hAnsi="仿宋" w:eastAsia="仿宋"/>
                <w:w w:val="102"/>
                <w:sz w:val="21"/>
                <w:szCs w:val="21"/>
              </w:rPr>
            </w:pPr>
            <w:r>
              <w:rPr>
                <w:rFonts w:ascii="仿宋" w:hAnsi="仿宋" w:eastAsia="仿宋"/>
                <w:w w:val="102"/>
                <w:sz w:val="20"/>
              </w:rPr>
              <w:t>否</w:t>
            </w:r>
          </w:p>
        </w:tc>
        <w:tc>
          <w:tcPr>
            <w:tcW w:w="1215" w:type="dxa"/>
            <w:vAlign w:val="center"/>
          </w:tcPr>
          <w:p w14:paraId="3AD87CEB">
            <w:pPr>
              <w:pStyle w:val="15"/>
              <w:spacing w:before="1"/>
              <w:ind w:right="373"/>
              <w:jc w:val="center"/>
              <w:rPr>
                <w:rFonts w:hint="eastAsia" w:ascii="仿宋" w:hAnsi="仿宋" w:eastAsia="仿宋"/>
                <w:w w:val="102"/>
                <w:sz w:val="20"/>
              </w:rPr>
            </w:pPr>
            <w:r>
              <w:rPr>
                <w:rFonts w:ascii="仿宋" w:hAnsi="仿宋" w:eastAsia="仿宋"/>
                <w:w w:val="102"/>
                <w:sz w:val="20"/>
              </w:rPr>
              <w:t>否</w:t>
            </w:r>
          </w:p>
        </w:tc>
      </w:tr>
      <w:tr w14:paraId="6CBEF1E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77" w:hRule="atLeast"/>
        </w:trPr>
        <w:tc>
          <w:tcPr>
            <w:tcW w:w="1309" w:type="dxa"/>
          </w:tcPr>
          <w:p w14:paraId="27858A16">
            <w:pPr>
              <w:pStyle w:val="15"/>
              <w:spacing w:line="247" w:lineRule="exact"/>
              <w:ind w:left="112"/>
              <w:rPr>
                <w:rFonts w:hint="eastAsia" w:ascii="仿宋" w:hAnsi="仿宋" w:eastAsia="仿宋"/>
                <w:sz w:val="20"/>
              </w:rPr>
            </w:pPr>
            <w:r>
              <w:rPr>
                <w:rFonts w:ascii="仿宋" w:hAnsi="仿宋" w:eastAsia="仿宋"/>
                <w:sz w:val="20"/>
              </w:rPr>
              <w:t>7、收购陕西定边150MW并网光伏发电项目</w:t>
            </w:r>
          </w:p>
        </w:tc>
        <w:tc>
          <w:tcPr>
            <w:tcW w:w="851" w:type="dxa"/>
            <w:vAlign w:val="center"/>
          </w:tcPr>
          <w:p w14:paraId="490F3E64">
            <w:pPr>
              <w:pStyle w:val="15"/>
              <w:spacing w:before="1"/>
              <w:ind w:right="207"/>
              <w:jc w:val="center"/>
              <w:rPr>
                <w:rFonts w:hint="eastAsia" w:ascii="仿宋" w:hAnsi="仿宋" w:eastAsia="仿宋"/>
                <w:w w:val="102"/>
                <w:sz w:val="21"/>
                <w:szCs w:val="21"/>
              </w:rPr>
            </w:pPr>
            <w:r>
              <w:rPr>
                <w:rFonts w:ascii="仿宋" w:hAnsi="仿宋" w:eastAsia="仿宋"/>
                <w:w w:val="102"/>
                <w:sz w:val="21"/>
                <w:szCs w:val="21"/>
              </w:rPr>
              <w:t>否</w:t>
            </w:r>
          </w:p>
        </w:tc>
        <w:tc>
          <w:tcPr>
            <w:tcW w:w="1260" w:type="dxa"/>
            <w:vAlign w:val="center"/>
          </w:tcPr>
          <w:p w14:paraId="68D95858">
            <w:pPr>
              <w:pStyle w:val="15"/>
              <w:spacing w:before="1"/>
              <w:ind w:right="155"/>
              <w:jc w:val="center"/>
              <w:rPr>
                <w:rFonts w:hint="eastAsia" w:ascii="仿宋" w:hAnsi="仿宋" w:eastAsia="仿宋"/>
                <w:w w:val="102"/>
                <w:sz w:val="21"/>
                <w:szCs w:val="21"/>
              </w:rPr>
            </w:pPr>
            <w:r>
              <w:rPr>
                <w:rFonts w:ascii="仿宋" w:hAnsi="仿宋" w:eastAsia="仿宋"/>
                <w:sz w:val="21"/>
                <w:szCs w:val="21"/>
              </w:rPr>
              <w:t>38,320.00</w:t>
            </w:r>
          </w:p>
        </w:tc>
        <w:tc>
          <w:tcPr>
            <w:tcW w:w="1418" w:type="dxa"/>
            <w:vAlign w:val="center"/>
          </w:tcPr>
          <w:p w14:paraId="751F15E3">
            <w:pPr>
              <w:pStyle w:val="15"/>
              <w:spacing w:before="1"/>
              <w:ind w:right="239"/>
              <w:jc w:val="center"/>
              <w:rPr>
                <w:rFonts w:hint="eastAsia" w:ascii="仿宋" w:hAnsi="仿宋" w:eastAsia="仿宋"/>
                <w:w w:val="102"/>
                <w:sz w:val="21"/>
                <w:szCs w:val="21"/>
              </w:rPr>
            </w:pPr>
            <w:r>
              <w:rPr>
                <w:rFonts w:ascii="仿宋" w:hAnsi="仿宋" w:eastAsia="仿宋"/>
                <w:sz w:val="21"/>
                <w:szCs w:val="21"/>
              </w:rPr>
              <w:t>38,320.00</w:t>
            </w:r>
          </w:p>
        </w:tc>
        <w:tc>
          <w:tcPr>
            <w:tcW w:w="1008" w:type="dxa"/>
            <w:vAlign w:val="center"/>
          </w:tcPr>
          <w:p w14:paraId="44979136">
            <w:pPr>
              <w:pStyle w:val="15"/>
              <w:spacing w:before="1"/>
              <w:ind w:right="65"/>
              <w:jc w:val="center"/>
              <w:rPr>
                <w:rFonts w:hint="eastAsia" w:ascii="仿宋" w:hAnsi="仿宋" w:eastAsia="仿宋"/>
                <w:w w:val="102"/>
                <w:sz w:val="21"/>
                <w:szCs w:val="21"/>
              </w:rPr>
            </w:pPr>
            <w:r>
              <w:rPr>
                <w:rFonts w:ascii="仿宋" w:hAnsi="仿宋" w:eastAsia="仿宋"/>
                <w:sz w:val="21"/>
                <w:szCs w:val="21"/>
              </w:rPr>
              <w:t>0.00</w:t>
            </w:r>
          </w:p>
        </w:tc>
        <w:tc>
          <w:tcPr>
            <w:tcW w:w="1276" w:type="dxa"/>
            <w:vAlign w:val="center"/>
          </w:tcPr>
          <w:p w14:paraId="05AAA641">
            <w:pPr>
              <w:pStyle w:val="15"/>
              <w:spacing w:before="1"/>
              <w:ind w:right="154"/>
              <w:jc w:val="center"/>
              <w:rPr>
                <w:rFonts w:hint="eastAsia" w:ascii="仿宋" w:hAnsi="仿宋" w:eastAsia="仿宋"/>
                <w:w w:val="102"/>
                <w:sz w:val="21"/>
                <w:szCs w:val="21"/>
              </w:rPr>
            </w:pPr>
            <w:r>
              <w:rPr>
                <w:rFonts w:ascii="仿宋" w:hAnsi="仿宋" w:eastAsia="仿宋"/>
                <w:sz w:val="21"/>
                <w:szCs w:val="21"/>
              </w:rPr>
              <w:t>38,320.00</w:t>
            </w:r>
          </w:p>
        </w:tc>
        <w:tc>
          <w:tcPr>
            <w:tcW w:w="1417" w:type="dxa"/>
            <w:vAlign w:val="center"/>
          </w:tcPr>
          <w:p w14:paraId="7EB8B2B9">
            <w:pPr>
              <w:pStyle w:val="15"/>
              <w:spacing w:before="1"/>
              <w:ind w:left="212" w:right="87"/>
              <w:jc w:val="center"/>
              <w:rPr>
                <w:rFonts w:hint="eastAsia" w:ascii="仿宋" w:hAnsi="仿宋" w:eastAsia="仿宋"/>
                <w:w w:val="102"/>
                <w:sz w:val="21"/>
                <w:szCs w:val="21"/>
              </w:rPr>
            </w:pPr>
            <w:r>
              <w:rPr>
                <w:rFonts w:ascii="仿宋" w:hAnsi="仿宋" w:eastAsia="仿宋"/>
                <w:sz w:val="21"/>
                <w:szCs w:val="21"/>
              </w:rPr>
              <w:t>100.00</w:t>
            </w:r>
          </w:p>
        </w:tc>
        <w:tc>
          <w:tcPr>
            <w:tcW w:w="1701" w:type="dxa"/>
            <w:vAlign w:val="center"/>
          </w:tcPr>
          <w:p w14:paraId="0EAD5C5F">
            <w:pPr>
              <w:pStyle w:val="15"/>
              <w:spacing w:before="1" w:line="254" w:lineRule="exact"/>
              <w:ind w:left="52" w:right="33"/>
              <w:jc w:val="center"/>
              <w:rPr>
                <w:rFonts w:hint="eastAsia" w:ascii="仿宋" w:hAnsi="仿宋" w:eastAsia="仿宋"/>
                <w:w w:val="102"/>
                <w:sz w:val="21"/>
                <w:szCs w:val="21"/>
              </w:rPr>
            </w:pPr>
            <w:r>
              <w:rPr>
                <w:rFonts w:ascii="仿宋" w:hAnsi="仿宋" w:eastAsia="仿宋"/>
                <w:sz w:val="21"/>
                <w:szCs w:val="21"/>
              </w:rPr>
              <w:t>2016年6月30日（收购）</w:t>
            </w:r>
          </w:p>
        </w:tc>
        <w:tc>
          <w:tcPr>
            <w:tcW w:w="1276" w:type="dxa"/>
            <w:vAlign w:val="center"/>
          </w:tcPr>
          <w:p w14:paraId="2BBD510D">
            <w:pPr>
              <w:pStyle w:val="15"/>
              <w:spacing w:before="1"/>
              <w:ind w:left="123" w:right="10"/>
              <w:jc w:val="center"/>
              <w:rPr>
                <w:rFonts w:hint="eastAsia" w:ascii="仿宋" w:hAnsi="仿宋" w:eastAsia="仿宋"/>
                <w:w w:val="102"/>
                <w:sz w:val="21"/>
                <w:szCs w:val="21"/>
              </w:rPr>
            </w:pPr>
            <w:r>
              <w:rPr>
                <w:rFonts w:hint="eastAsia" w:ascii="仿宋" w:hAnsi="仿宋" w:eastAsia="仿宋"/>
                <w:sz w:val="21"/>
                <w:szCs w:val="21"/>
              </w:rPr>
              <w:t>2,102.48</w:t>
            </w:r>
          </w:p>
        </w:tc>
        <w:tc>
          <w:tcPr>
            <w:tcW w:w="850" w:type="dxa"/>
            <w:vAlign w:val="center"/>
          </w:tcPr>
          <w:p w14:paraId="18DB1D77">
            <w:pPr>
              <w:pStyle w:val="15"/>
              <w:spacing w:before="1"/>
              <w:ind w:left="13"/>
              <w:jc w:val="center"/>
              <w:rPr>
                <w:rFonts w:hint="eastAsia" w:ascii="仿宋" w:hAnsi="仿宋" w:eastAsia="仿宋"/>
                <w:w w:val="102"/>
                <w:sz w:val="21"/>
                <w:szCs w:val="21"/>
              </w:rPr>
            </w:pPr>
            <w:r>
              <w:rPr>
                <w:rFonts w:ascii="仿宋" w:hAnsi="仿宋" w:eastAsia="仿宋"/>
                <w:w w:val="102"/>
                <w:sz w:val="20"/>
              </w:rPr>
              <w:t>否</w:t>
            </w:r>
          </w:p>
        </w:tc>
        <w:tc>
          <w:tcPr>
            <w:tcW w:w="1215" w:type="dxa"/>
            <w:vAlign w:val="center"/>
          </w:tcPr>
          <w:p w14:paraId="29062B7C">
            <w:pPr>
              <w:pStyle w:val="15"/>
              <w:spacing w:before="1"/>
              <w:ind w:right="373"/>
              <w:jc w:val="center"/>
              <w:rPr>
                <w:rFonts w:hint="eastAsia" w:ascii="仿宋" w:hAnsi="仿宋" w:eastAsia="仿宋"/>
                <w:w w:val="102"/>
                <w:sz w:val="20"/>
              </w:rPr>
            </w:pPr>
            <w:r>
              <w:rPr>
                <w:rFonts w:ascii="仿宋" w:hAnsi="仿宋" w:eastAsia="仿宋"/>
                <w:w w:val="102"/>
                <w:sz w:val="20"/>
              </w:rPr>
              <w:t>否</w:t>
            </w:r>
          </w:p>
        </w:tc>
      </w:tr>
      <w:tr w14:paraId="6C1649A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77" w:hRule="atLeast"/>
        </w:trPr>
        <w:tc>
          <w:tcPr>
            <w:tcW w:w="1309" w:type="dxa"/>
            <w:vAlign w:val="center"/>
          </w:tcPr>
          <w:p w14:paraId="74545F5F">
            <w:pPr>
              <w:pStyle w:val="15"/>
              <w:spacing w:line="247" w:lineRule="exact"/>
              <w:ind w:left="112"/>
              <w:rPr>
                <w:rFonts w:hint="eastAsia" w:ascii="仿宋" w:hAnsi="仿宋" w:eastAsia="仿宋"/>
                <w:sz w:val="20"/>
              </w:rPr>
            </w:pPr>
            <w:r>
              <w:rPr>
                <w:rFonts w:ascii="仿宋" w:hAnsi="仿宋" w:eastAsia="仿宋"/>
                <w:sz w:val="20"/>
              </w:rPr>
              <w:t>8、补充流动资金</w:t>
            </w:r>
          </w:p>
        </w:tc>
        <w:tc>
          <w:tcPr>
            <w:tcW w:w="851" w:type="dxa"/>
            <w:vAlign w:val="center"/>
          </w:tcPr>
          <w:p w14:paraId="63DBC1F6">
            <w:pPr>
              <w:pStyle w:val="15"/>
              <w:spacing w:before="1"/>
              <w:ind w:right="207"/>
              <w:jc w:val="center"/>
              <w:rPr>
                <w:rFonts w:hint="eastAsia" w:ascii="仿宋" w:hAnsi="仿宋" w:eastAsia="仿宋"/>
                <w:w w:val="102"/>
                <w:sz w:val="21"/>
                <w:szCs w:val="21"/>
              </w:rPr>
            </w:pPr>
            <w:r>
              <w:rPr>
                <w:rFonts w:ascii="仿宋" w:hAnsi="仿宋" w:eastAsia="仿宋"/>
                <w:w w:val="102"/>
                <w:sz w:val="21"/>
                <w:szCs w:val="21"/>
              </w:rPr>
              <w:t>否</w:t>
            </w:r>
          </w:p>
        </w:tc>
        <w:tc>
          <w:tcPr>
            <w:tcW w:w="1260" w:type="dxa"/>
            <w:vAlign w:val="center"/>
          </w:tcPr>
          <w:p w14:paraId="00ACDD5A">
            <w:pPr>
              <w:pStyle w:val="15"/>
              <w:spacing w:before="1"/>
              <w:ind w:right="155"/>
              <w:jc w:val="center"/>
              <w:rPr>
                <w:rFonts w:hint="eastAsia" w:ascii="仿宋" w:hAnsi="仿宋" w:eastAsia="仿宋"/>
                <w:w w:val="102"/>
                <w:sz w:val="21"/>
                <w:szCs w:val="21"/>
              </w:rPr>
            </w:pPr>
            <w:r>
              <w:rPr>
                <w:rFonts w:ascii="仿宋" w:hAnsi="仿宋" w:eastAsia="仿宋"/>
                <w:sz w:val="21"/>
                <w:szCs w:val="21"/>
              </w:rPr>
              <w:t>100,000.00</w:t>
            </w:r>
          </w:p>
        </w:tc>
        <w:tc>
          <w:tcPr>
            <w:tcW w:w="1418" w:type="dxa"/>
            <w:vAlign w:val="center"/>
          </w:tcPr>
          <w:p w14:paraId="02B47727">
            <w:pPr>
              <w:pStyle w:val="15"/>
              <w:spacing w:before="1"/>
              <w:ind w:right="239"/>
              <w:jc w:val="center"/>
              <w:rPr>
                <w:rFonts w:hint="eastAsia" w:ascii="仿宋" w:hAnsi="仿宋" w:eastAsia="仿宋"/>
                <w:w w:val="102"/>
                <w:sz w:val="21"/>
                <w:szCs w:val="21"/>
              </w:rPr>
            </w:pPr>
            <w:r>
              <w:rPr>
                <w:rFonts w:ascii="仿宋" w:hAnsi="仿宋" w:eastAsia="仿宋"/>
                <w:sz w:val="21"/>
                <w:szCs w:val="21"/>
              </w:rPr>
              <w:t>100,000.00</w:t>
            </w:r>
          </w:p>
        </w:tc>
        <w:tc>
          <w:tcPr>
            <w:tcW w:w="1008" w:type="dxa"/>
            <w:vAlign w:val="center"/>
          </w:tcPr>
          <w:p w14:paraId="604BC226">
            <w:pPr>
              <w:pStyle w:val="15"/>
              <w:spacing w:before="1"/>
              <w:ind w:right="65"/>
              <w:jc w:val="center"/>
              <w:rPr>
                <w:rFonts w:hint="eastAsia" w:ascii="仿宋" w:hAnsi="仿宋" w:eastAsia="仿宋"/>
                <w:w w:val="102"/>
                <w:sz w:val="21"/>
                <w:szCs w:val="21"/>
              </w:rPr>
            </w:pPr>
          </w:p>
        </w:tc>
        <w:tc>
          <w:tcPr>
            <w:tcW w:w="1276" w:type="dxa"/>
            <w:vAlign w:val="center"/>
          </w:tcPr>
          <w:p w14:paraId="55640CDF">
            <w:pPr>
              <w:pStyle w:val="15"/>
              <w:spacing w:before="1"/>
              <w:ind w:right="154"/>
              <w:jc w:val="center"/>
              <w:rPr>
                <w:rFonts w:hint="eastAsia" w:ascii="仿宋" w:hAnsi="仿宋" w:eastAsia="仿宋"/>
                <w:w w:val="102"/>
                <w:sz w:val="21"/>
                <w:szCs w:val="21"/>
              </w:rPr>
            </w:pPr>
            <w:r>
              <w:rPr>
                <w:rFonts w:ascii="仿宋" w:hAnsi="仿宋" w:eastAsia="仿宋"/>
                <w:sz w:val="21"/>
                <w:szCs w:val="21"/>
              </w:rPr>
              <w:t>95,291.22</w:t>
            </w:r>
          </w:p>
        </w:tc>
        <w:tc>
          <w:tcPr>
            <w:tcW w:w="1417" w:type="dxa"/>
            <w:vAlign w:val="center"/>
          </w:tcPr>
          <w:p w14:paraId="7A4EA92A">
            <w:pPr>
              <w:pStyle w:val="15"/>
              <w:spacing w:before="1"/>
              <w:ind w:left="212" w:right="87"/>
              <w:jc w:val="center"/>
              <w:rPr>
                <w:rFonts w:hint="eastAsia" w:ascii="仿宋" w:hAnsi="仿宋" w:eastAsia="仿宋"/>
                <w:w w:val="102"/>
                <w:sz w:val="21"/>
                <w:szCs w:val="21"/>
              </w:rPr>
            </w:pPr>
            <w:r>
              <w:rPr>
                <w:rFonts w:ascii="仿宋" w:hAnsi="仿宋" w:eastAsia="仿宋"/>
                <w:sz w:val="21"/>
                <w:szCs w:val="21"/>
              </w:rPr>
              <w:t xml:space="preserve"> 95.29</w:t>
            </w:r>
          </w:p>
        </w:tc>
        <w:tc>
          <w:tcPr>
            <w:tcW w:w="1701" w:type="dxa"/>
            <w:vAlign w:val="center"/>
          </w:tcPr>
          <w:p w14:paraId="36BCAE83">
            <w:pPr>
              <w:pStyle w:val="15"/>
              <w:spacing w:before="1" w:line="254" w:lineRule="exact"/>
              <w:ind w:left="52" w:right="33"/>
              <w:jc w:val="center"/>
              <w:rPr>
                <w:rFonts w:hint="eastAsia" w:ascii="仿宋" w:hAnsi="仿宋" w:eastAsia="仿宋"/>
                <w:w w:val="102"/>
                <w:sz w:val="21"/>
                <w:szCs w:val="21"/>
              </w:rPr>
            </w:pPr>
          </w:p>
        </w:tc>
        <w:tc>
          <w:tcPr>
            <w:tcW w:w="1276" w:type="dxa"/>
            <w:vAlign w:val="center"/>
          </w:tcPr>
          <w:p w14:paraId="7F7FB3F9">
            <w:pPr>
              <w:pStyle w:val="15"/>
              <w:spacing w:before="1"/>
              <w:ind w:left="123" w:right="10"/>
              <w:jc w:val="center"/>
              <w:rPr>
                <w:rFonts w:hint="eastAsia" w:ascii="仿宋" w:hAnsi="仿宋" w:eastAsia="仿宋"/>
                <w:w w:val="102"/>
                <w:sz w:val="21"/>
                <w:szCs w:val="21"/>
              </w:rPr>
            </w:pPr>
            <w:r>
              <w:rPr>
                <w:rFonts w:hint="eastAsia" w:ascii="仿宋" w:hAnsi="仿宋" w:eastAsia="仿宋"/>
                <w:sz w:val="21"/>
                <w:szCs w:val="21"/>
              </w:rPr>
              <w:t>不适用</w:t>
            </w:r>
          </w:p>
        </w:tc>
        <w:tc>
          <w:tcPr>
            <w:tcW w:w="850" w:type="dxa"/>
            <w:vAlign w:val="center"/>
          </w:tcPr>
          <w:p w14:paraId="6128563C">
            <w:pPr>
              <w:pStyle w:val="15"/>
              <w:spacing w:before="1"/>
              <w:ind w:left="13"/>
              <w:jc w:val="center"/>
              <w:rPr>
                <w:rFonts w:hint="eastAsia" w:ascii="仿宋" w:hAnsi="仿宋" w:eastAsia="仿宋"/>
                <w:w w:val="102"/>
                <w:sz w:val="21"/>
                <w:szCs w:val="21"/>
              </w:rPr>
            </w:pPr>
            <w:r>
              <w:rPr>
                <w:rFonts w:hint="eastAsia" w:ascii="仿宋" w:hAnsi="仿宋" w:eastAsia="仿宋"/>
                <w:sz w:val="20"/>
              </w:rPr>
              <w:t>不适用</w:t>
            </w:r>
          </w:p>
        </w:tc>
        <w:tc>
          <w:tcPr>
            <w:tcW w:w="1215" w:type="dxa"/>
            <w:vAlign w:val="center"/>
          </w:tcPr>
          <w:p w14:paraId="63812286">
            <w:pPr>
              <w:pStyle w:val="15"/>
              <w:spacing w:before="1"/>
              <w:ind w:right="373"/>
              <w:jc w:val="center"/>
              <w:rPr>
                <w:rFonts w:hint="eastAsia" w:ascii="仿宋" w:hAnsi="仿宋" w:eastAsia="仿宋"/>
                <w:w w:val="102"/>
                <w:sz w:val="20"/>
              </w:rPr>
            </w:pPr>
            <w:r>
              <w:rPr>
                <w:rFonts w:hint="eastAsia" w:ascii="仿宋" w:hAnsi="仿宋" w:eastAsia="仿宋"/>
                <w:sz w:val="20"/>
              </w:rPr>
              <w:t>否</w:t>
            </w:r>
          </w:p>
        </w:tc>
      </w:tr>
      <w:tr w14:paraId="3CB9B06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77" w:hRule="atLeast"/>
        </w:trPr>
        <w:tc>
          <w:tcPr>
            <w:tcW w:w="1309" w:type="dxa"/>
            <w:vAlign w:val="center"/>
          </w:tcPr>
          <w:p w14:paraId="2E14060D">
            <w:pPr>
              <w:pStyle w:val="15"/>
              <w:spacing w:line="247" w:lineRule="exact"/>
              <w:ind w:left="112"/>
              <w:rPr>
                <w:rFonts w:hint="eastAsia" w:ascii="仿宋" w:hAnsi="仿宋" w:eastAsia="仿宋"/>
                <w:sz w:val="20"/>
              </w:rPr>
            </w:pPr>
            <w:r>
              <w:rPr>
                <w:rFonts w:ascii="仿宋" w:hAnsi="仿宋" w:eastAsia="仿宋"/>
                <w:b/>
                <w:sz w:val="20"/>
              </w:rPr>
              <w:t>承诺投资项目小计</w:t>
            </w:r>
          </w:p>
        </w:tc>
        <w:tc>
          <w:tcPr>
            <w:tcW w:w="851" w:type="dxa"/>
            <w:vAlign w:val="center"/>
          </w:tcPr>
          <w:p w14:paraId="5138E2BC">
            <w:pPr>
              <w:pStyle w:val="15"/>
              <w:spacing w:before="1"/>
              <w:ind w:right="207"/>
              <w:jc w:val="center"/>
              <w:rPr>
                <w:rFonts w:hint="eastAsia" w:ascii="仿宋" w:hAnsi="仿宋" w:eastAsia="仿宋"/>
                <w:w w:val="102"/>
                <w:sz w:val="21"/>
                <w:szCs w:val="21"/>
              </w:rPr>
            </w:pPr>
          </w:p>
        </w:tc>
        <w:tc>
          <w:tcPr>
            <w:tcW w:w="1260" w:type="dxa"/>
            <w:vAlign w:val="center"/>
          </w:tcPr>
          <w:p w14:paraId="0E5F211D">
            <w:pPr>
              <w:pStyle w:val="15"/>
              <w:spacing w:before="1"/>
              <w:ind w:right="155"/>
              <w:jc w:val="center"/>
              <w:rPr>
                <w:rFonts w:hint="eastAsia" w:ascii="仿宋" w:hAnsi="仿宋" w:eastAsia="仿宋"/>
                <w:w w:val="102"/>
                <w:sz w:val="21"/>
                <w:szCs w:val="21"/>
              </w:rPr>
            </w:pPr>
            <w:r>
              <w:rPr>
                <w:rFonts w:ascii="仿宋" w:hAnsi="仿宋" w:eastAsia="仿宋"/>
                <w:sz w:val="21"/>
                <w:szCs w:val="21"/>
              </w:rPr>
              <w:t>383,993.00</w:t>
            </w:r>
          </w:p>
        </w:tc>
        <w:tc>
          <w:tcPr>
            <w:tcW w:w="1418" w:type="dxa"/>
            <w:vAlign w:val="center"/>
          </w:tcPr>
          <w:p w14:paraId="72860EB4">
            <w:pPr>
              <w:pStyle w:val="15"/>
              <w:spacing w:before="1"/>
              <w:ind w:right="239"/>
              <w:jc w:val="center"/>
              <w:rPr>
                <w:rFonts w:hint="eastAsia" w:ascii="仿宋" w:hAnsi="仿宋" w:eastAsia="仿宋"/>
                <w:w w:val="102"/>
                <w:sz w:val="21"/>
                <w:szCs w:val="21"/>
              </w:rPr>
            </w:pPr>
            <w:r>
              <w:rPr>
                <w:rFonts w:ascii="仿宋" w:hAnsi="仿宋" w:eastAsia="仿宋"/>
                <w:sz w:val="21"/>
                <w:szCs w:val="21"/>
              </w:rPr>
              <w:t>383,993.00</w:t>
            </w:r>
          </w:p>
        </w:tc>
        <w:tc>
          <w:tcPr>
            <w:tcW w:w="1008" w:type="dxa"/>
            <w:vAlign w:val="center"/>
          </w:tcPr>
          <w:p w14:paraId="1BEEFFEF">
            <w:pPr>
              <w:pStyle w:val="15"/>
              <w:spacing w:before="1"/>
              <w:ind w:right="65"/>
              <w:jc w:val="center"/>
              <w:rPr>
                <w:rFonts w:hint="eastAsia" w:ascii="仿宋" w:hAnsi="仿宋" w:eastAsia="仿宋"/>
                <w:w w:val="102"/>
                <w:sz w:val="21"/>
                <w:szCs w:val="21"/>
              </w:rPr>
            </w:pPr>
            <w:r>
              <w:rPr>
                <w:rFonts w:hint="eastAsia" w:ascii="仿宋" w:hAnsi="仿宋" w:eastAsia="仿宋"/>
                <w:sz w:val="21"/>
                <w:szCs w:val="21"/>
              </w:rPr>
              <w:t>274.15</w:t>
            </w:r>
          </w:p>
        </w:tc>
        <w:tc>
          <w:tcPr>
            <w:tcW w:w="1276" w:type="dxa"/>
            <w:vAlign w:val="center"/>
          </w:tcPr>
          <w:p w14:paraId="3ADD4712">
            <w:pPr>
              <w:pStyle w:val="15"/>
              <w:spacing w:before="1"/>
              <w:ind w:right="154"/>
              <w:jc w:val="center"/>
              <w:rPr>
                <w:rFonts w:hint="eastAsia" w:ascii="仿宋" w:hAnsi="仿宋" w:eastAsia="仿宋"/>
                <w:w w:val="102"/>
                <w:sz w:val="21"/>
                <w:szCs w:val="21"/>
              </w:rPr>
            </w:pPr>
            <w:r>
              <w:rPr>
                <w:rFonts w:hint="eastAsia" w:ascii="仿宋" w:hAnsi="仿宋" w:eastAsia="仿宋"/>
                <w:sz w:val="21"/>
                <w:szCs w:val="21"/>
              </w:rPr>
              <w:t>359,986.67</w:t>
            </w:r>
          </w:p>
        </w:tc>
        <w:tc>
          <w:tcPr>
            <w:tcW w:w="1417" w:type="dxa"/>
            <w:vAlign w:val="center"/>
          </w:tcPr>
          <w:p w14:paraId="55FC4FCF">
            <w:pPr>
              <w:pStyle w:val="15"/>
              <w:spacing w:before="1"/>
              <w:ind w:left="212" w:right="87"/>
              <w:jc w:val="center"/>
              <w:rPr>
                <w:rFonts w:hint="eastAsia" w:ascii="仿宋" w:hAnsi="仿宋" w:eastAsia="仿宋"/>
                <w:w w:val="102"/>
                <w:sz w:val="21"/>
                <w:szCs w:val="21"/>
              </w:rPr>
            </w:pPr>
            <w:r>
              <w:rPr>
                <w:rFonts w:hint="eastAsia" w:ascii="仿宋" w:hAnsi="仿宋" w:eastAsia="仿宋"/>
                <w:w w:val="102"/>
                <w:sz w:val="21"/>
                <w:szCs w:val="21"/>
              </w:rPr>
              <w:t xml:space="preserve"> 93.75</w:t>
            </w:r>
          </w:p>
        </w:tc>
        <w:tc>
          <w:tcPr>
            <w:tcW w:w="1701" w:type="dxa"/>
            <w:vAlign w:val="center"/>
          </w:tcPr>
          <w:p w14:paraId="4B8EA2F9">
            <w:pPr>
              <w:pStyle w:val="15"/>
              <w:spacing w:before="1" w:line="254" w:lineRule="exact"/>
              <w:ind w:left="52" w:right="33"/>
              <w:jc w:val="center"/>
              <w:rPr>
                <w:rFonts w:hint="eastAsia" w:ascii="仿宋" w:hAnsi="仿宋" w:eastAsia="仿宋"/>
                <w:w w:val="102"/>
                <w:sz w:val="21"/>
                <w:szCs w:val="21"/>
              </w:rPr>
            </w:pPr>
          </w:p>
        </w:tc>
        <w:tc>
          <w:tcPr>
            <w:tcW w:w="1276" w:type="dxa"/>
            <w:vAlign w:val="center"/>
          </w:tcPr>
          <w:p w14:paraId="3A0EFE14">
            <w:pPr>
              <w:pStyle w:val="15"/>
              <w:spacing w:before="1"/>
              <w:ind w:left="123" w:right="10"/>
              <w:jc w:val="center"/>
              <w:rPr>
                <w:rFonts w:hint="eastAsia" w:ascii="仿宋" w:hAnsi="仿宋" w:eastAsia="仿宋"/>
                <w:w w:val="102"/>
                <w:sz w:val="21"/>
                <w:szCs w:val="21"/>
              </w:rPr>
            </w:pPr>
            <w:r>
              <w:rPr>
                <w:rFonts w:hint="eastAsia" w:ascii="仿宋" w:hAnsi="仿宋" w:eastAsia="仿宋"/>
                <w:sz w:val="21"/>
                <w:szCs w:val="21"/>
              </w:rPr>
              <w:t>7,808.56</w:t>
            </w:r>
          </w:p>
        </w:tc>
        <w:tc>
          <w:tcPr>
            <w:tcW w:w="850" w:type="dxa"/>
            <w:vAlign w:val="center"/>
          </w:tcPr>
          <w:p w14:paraId="6C361403">
            <w:pPr>
              <w:pStyle w:val="15"/>
              <w:spacing w:before="1"/>
              <w:ind w:left="13"/>
              <w:jc w:val="center"/>
              <w:rPr>
                <w:rFonts w:hint="eastAsia" w:ascii="仿宋" w:hAnsi="仿宋" w:eastAsia="仿宋"/>
                <w:w w:val="102"/>
                <w:sz w:val="21"/>
                <w:szCs w:val="21"/>
              </w:rPr>
            </w:pPr>
          </w:p>
        </w:tc>
        <w:tc>
          <w:tcPr>
            <w:tcW w:w="1215" w:type="dxa"/>
            <w:vAlign w:val="center"/>
          </w:tcPr>
          <w:p w14:paraId="71AAB39E">
            <w:pPr>
              <w:pStyle w:val="15"/>
              <w:spacing w:before="1"/>
              <w:ind w:right="373"/>
              <w:jc w:val="center"/>
              <w:rPr>
                <w:rFonts w:hint="eastAsia" w:ascii="仿宋" w:hAnsi="仿宋" w:eastAsia="仿宋"/>
                <w:w w:val="102"/>
                <w:sz w:val="20"/>
              </w:rPr>
            </w:pPr>
          </w:p>
        </w:tc>
      </w:tr>
      <w:tr w14:paraId="4247F79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77" w:hRule="atLeast"/>
        </w:trPr>
        <w:tc>
          <w:tcPr>
            <w:tcW w:w="1309" w:type="dxa"/>
            <w:vAlign w:val="center"/>
          </w:tcPr>
          <w:p w14:paraId="3AB150EF">
            <w:pPr>
              <w:pStyle w:val="15"/>
              <w:spacing w:line="247" w:lineRule="exact"/>
              <w:ind w:left="112"/>
              <w:rPr>
                <w:rFonts w:hint="eastAsia" w:ascii="仿宋" w:hAnsi="仿宋" w:eastAsia="仿宋"/>
                <w:sz w:val="20"/>
              </w:rPr>
            </w:pPr>
            <w:r>
              <w:rPr>
                <w:rFonts w:ascii="仿宋" w:hAnsi="仿宋" w:eastAsia="仿宋"/>
                <w:sz w:val="20"/>
              </w:rPr>
              <w:t>超募资金投</w:t>
            </w:r>
            <w:r>
              <w:rPr>
                <w:rFonts w:ascii="仿宋" w:hAnsi="仿宋" w:eastAsia="仿宋"/>
                <w:w w:val="102"/>
                <w:sz w:val="20"/>
              </w:rPr>
              <w:t>向</w:t>
            </w:r>
          </w:p>
        </w:tc>
        <w:tc>
          <w:tcPr>
            <w:tcW w:w="851" w:type="dxa"/>
            <w:vAlign w:val="center"/>
          </w:tcPr>
          <w:p w14:paraId="3F7AC1C8">
            <w:pPr>
              <w:pStyle w:val="15"/>
              <w:spacing w:before="1"/>
              <w:ind w:right="207"/>
              <w:jc w:val="center"/>
              <w:rPr>
                <w:rFonts w:hint="eastAsia" w:ascii="仿宋" w:hAnsi="仿宋" w:eastAsia="仿宋"/>
                <w:w w:val="102"/>
                <w:sz w:val="21"/>
                <w:szCs w:val="21"/>
              </w:rPr>
            </w:pPr>
          </w:p>
        </w:tc>
        <w:tc>
          <w:tcPr>
            <w:tcW w:w="1260" w:type="dxa"/>
            <w:vAlign w:val="center"/>
          </w:tcPr>
          <w:p w14:paraId="6368F124">
            <w:pPr>
              <w:pStyle w:val="15"/>
              <w:spacing w:before="1"/>
              <w:ind w:right="155"/>
              <w:jc w:val="center"/>
              <w:rPr>
                <w:rFonts w:hint="eastAsia" w:ascii="仿宋" w:hAnsi="仿宋" w:eastAsia="仿宋"/>
                <w:w w:val="102"/>
                <w:sz w:val="21"/>
                <w:szCs w:val="21"/>
              </w:rPr>
            </w:pPr>
          </w:p>
        </w:tc>
        <w:tc>
          <w:tcPr>
            <w:tcW w:w="1418" w:type="dxa"/>
            <w:vAlign w:val="center"/>
          </w:tcPr>
          <w:p w14:paraId="4BF7E9F7">
            <w:pPr>
              <w:pStyle w:val="15"/>
              <w:spacing w:before="1"/>
              <w:ind w:right="239"/>
              <w:jc w:val="center"/>
              <w:rPr>
                <w:rFonts w:hint="eastAsia" w:ascii="仿宋" w:hAnsi="仿宋" w:eastAsia="仿宋"/>
                <w:w w:val="102"/>
                <w:sz w:val="21"/>
                <w:szCs w:val="21"/>
              </w:rPr>
            </w:pPr>
          </w:p>
        </w:tc>
        <w:tc>
          <w:tcPr>
            <w:tcW w:w="1008" w:type="dxa"/>
            <w:vAlign w:val="center"/>
          </w:tcPr>
          <w:p w14:paraId="00D77430">
            <w:pPr>
              <w:pStyle w:val="15"/>
              <w:spacing w:before="1"/>
              <w:ind w:right="65"/>
              <w:jc w:val="center"/>
              <w:rPr>
                <w:rFonts w:hint="eastAsia" w:ascii="仿宋" w:hAnsi="仿宋" w:eastAsia="仿宋"/>
                <w:w w:val="102"/>
                <w:sz w:val="21"/>
                <w:szCs w:val="21"/>
              </w:rPr>
            </w:pPr>
          </w:p>
        </w:tc>
        <w:tc>
          <w:tcPr>
            <w:tcW w:w="1276" w:type="dxa"/>
            <w:vAlign w:val="center"/>
          </w:tcPr>
          <w:p w14:paraId="6491058A">
            <w:pPr>
              <w:pStyle w:val="15"/>
              <w:spacing w:before="1"/>
              <w:ind w:right="154"/>
              <w:jc w:val="center"/>
              <w:rPr>
                <w:rFonts w:hint="eastAsia" w:ascii="仿宋" w:hAnsi="仿宋" w:eastAsia="仿宋"/>
                <w:w w:val="102"/>
                <w:sz w:val="21"/>
                <w:szCs w:val="21"/>
              </w:rPr>
            </w:pPr>
          </w:p>
        </w:tc>
        <w:tc>
          <w:tcPr>
            <w:tcW w:w="1417" w:type="dxa"/>
            <w:vAlign w:val="center"/>
          </w:tcPr>
          <w:p w14:paraId="2A8E7081">
            <w:pPr>
              <w:pStyle w:val="15"/>
              <w:spacing w:before="1"/>
              <w:ind w:left="212" w:right="87"/>
              <w:jc w:val="center"/>
              <w:rPr>
                <w:rFonts w:hint="eastAsia" w:ascii="仿宋" w:hAnsi="仿宋" w:eastAsia="仿宋"/>
                <w:w w:val="102"/>
                <w:sz w:val="21"/>
                <w:szCs w:val="21"/>
              </w:rPr>
            </w:pPr>
          </w:p>
        </w:tc>
        <w:tc>
          <w:tcPr>
            <w:tcW w:w="1701" w:type="dxa"/>
            <w:vAlign w:val="center"/>
          </w:tcPr>
          <w:p w14:paraId="357EBCFC">
            <w:pPr>
              <w:pStyle w:val="15"/>
              <w:spacing w:before="1" w:line="254" w:lineRule="exact"/>
              <w:ind w:left="52" w:right="33"/>
              <w:jc w:val="center"/>
              <w:rPr>
                <w:rFonts w:hint="eastAsia" w:ascii="仿宋" w:hAnsi="仿宋" w:eastAsia="仿宋"/>
                <w:w w:val="102"/>
                <w:sz w:val="21"/>
                <w:szCs w:val="21"/>
              </w:rPr>
            </w:pPr>
          </w:p>
        </w:tc>
        <w:tc>
          <w:tcPr>
            <w:tcW w:w="1276" w:type="dxa"/>
            <w:vAlign w:val="center"/>
          </w:tcPr>
          <w:p w14:paraId="5A24EB42">
            <w:pPr>
              <w:pStyle w:val="15"/>
              <w:spacing w:before="1"/>
              <w:ind w:left="123" w:right="10"/>
              <w:jc w:val="center"/>
              <w:rPr>
                <w:rFonts w:hint="eastAsia" w:ascii="仿宋" w:hAnsi="仿宋" w:eastAsia="仿宋"/>
                <w:w w:val="102"/>
                <w:sz w:val="21"/>
                <w:szCs w:val="21"/>
              </w:rPr>
            </w:pPr>
          </w:p>
        </w:tc>
        <w:tc>
          <w:tcPr>
            <w:tcW w:w="850" w:type="dxa"/>
            <w:vAlign w:val="center"/>
          </w:tcPr>
          <w:p w14:paraId="55622967">
            <w:pPr>
              <w:pStyle w:val="15"/>
              <w:spacing w:before="1"/>
              <w:ind w:left="13"/>
              <w:jc w:val="center"/>
              <w:rPr>
                <w:rFonts w:hint="eastAsia" w:ascii="仿宋" w:hAnsi="仿宋" w:eastAsia="仿宋"/>
                <w:w w:val="102"/>
                <w:sz w:val="21"/>
                <w:szCs w:val="21"/>
              </w:rPr>
            </w:pPr>
          </w:p>
        </w:tc>
        <w:tc>
          <w:tcPr>
            <w:tcW w:w="1215" w:type="dxa"/>
            <w:vAlign w:val="center"/>
          </w:tcPr>
          <w:p w14:paraId="31DB39DF">
            <w:pPr>
              <w:pStyle w:val="15"/>
              <w:spacing w:before="1"/>
              <w:ind w:right="373"/>
              <w:jc w:val="center"/>
              <w:rPr>
                <w:rFonts w:hint="eastAsia" w:ascii="仿宋" w:hAnsi="仿宋" w:eastAsia="仿宋"/>
                <w:w w:val="102"/>
                <w:sz w:val="20"/>
              </w:rPr>
            </w:pPr>
          </w:p>
        </w:tc>
      </w:tr>
      <w:tr w14:paraId="1F04C77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77" w:hRule="atLeast"/>
        </w:trPr>
        <w:tc>
          <w:tcPr>
            <w:tcW w:w="1309" w:type="dxa"/>
            <w:vAlign w:val="center"/>
          </w:tcPr>
          <w:p w14:paraId="5DF2B5BF">
            <w:pPr>
              <w:pStyle w:val="15"/>
              <w:spacing w:line="247" w:lineRule="exact"/>
              <w:ind w:left="112"/>
              <w:rPr>
                <w:rFonts w:hint="eastAsia" w:ascii="仿宋" w:hAnsi="仿宋" w:eastAsia="仿宋"/>
                <w:sz w:val="20"/>
              </w:rPr>
            </w:pPr>
            <w:r>
              <w:rPr>
                <w:rFonts w:ascii="仿宋" w:hAnsi="仿宋" w:eastAsia="仿宋"/>
                <w:spacing w:val="-4"/>
                <w:sz w:val="20"/>
              </w:rPr>
              <w:t>归还银行贷</w:t>
            </w:r>
            <w:r>
              <w:rPr>
                <w:rFonts w:ascii="仿宋" w:hAnsi="仿宋" w:eastAsia="仿宋"/>
                <w:sz w:val="20"/>
              </w:rPr>
              <w:t>款（</w:t>
            </w:r>
            <w:r>
              <w:rPr>
                <w:rFonts w:ascii="仿宋" w:hAnsi="仿宋" w:eastAsia="仿宋"/>
                <w:spacing w:val="-7"/>
                <w:sz w:val="20"/>
              </w:rPr>
              <w:t>如有</w:t>
            </w:r>
            <w:r>
              <w:rPr>
                <w:rFonts w:ascii="仿宋" w:hAnsi="仿宋" w:eastAsia="仿宋"/>
                <w:sz w:val="20"/>
              </w:rPr>
              <w:t>）</w:t>
            </w:r>
          </w:p>
        </w:tc>
        <w:tc>
          <w:tcPr>
            <w:tcW w:w="851" w:type="dxa"/>
            <w:vAlign w:val="center"/>
          </w:tcPr>
          <w:p w14:paraId="43334251">
            <w:pPr>
              <w:pStyle w:val="15"/>
              <w:spacing w:before="1"/>
              <w:ind w:right="207"/>
              <w:jc w:val="center"/>
              <w:rPr>
                <w:rFonts w:hint="eastAsia" w:ascii="仿宋" w:hAnsi="仿宋" w:eastAsia="仿宋"/>
                <w:w w:val="102"/>
                <w:sz w:val="21"/>
                <w:szCs w:val="21"/>
              </w:rPr>
            </w:pPr>
          </w:p>
        </w:tc>
        <w:tc>
          <w:tcPr>
            <w:tcW w:w="1260" w:type="dxa"/>
            <w:vAlign w:val="center"/>
          </w:tcPr>
          <w:p w14:paraId="208406C7">
            <w:pPr>
              <w:pStyle w:val="15"/>
              <w:spacing w:before="1"/>
              <w:ind w:right="155"/>
              <w:jc w:val="center"/>
              <w:rPr>
                <w:rFonts w:hint="eastAsia" w:ascii="仿宋" w:hAnsi="仿宋" w:eastAsia="仿宋"/>
                <w:w w:val="102"/>
                <w:sz w:val="21"/>
                <w:szCs w:val="21"/>
              </w:rPr>
            </w:pPr>
          </w:p>
        </w:tc>
        <w:tc>
          <w:tcPr>
            <w:tcW w:w="1418" w:type="dxa"/>
            <w:vAlign w:val="center"/>
          </w:tcPr>
          <w:p w14:paraId="0404C29C">
            <w:pPr>
              <w:pStyle w:val="15"/>
              <w:spacing w:before="1"/>
              <w:ind w:right="239"/>
              <w:jc w:val="center"/>
              <w:rPr>
                <w:rFonts w:hint="eastAsia" w:ascii="仿宋" w:hAnsi="仿宋" w:eastAsia="仿宋"/>
                <w:w w:val="102"/>
                <w:sz w:val="21"/>
                <w:szCs w:val="21"/>
              </w:rPr>
            </w:pPr>
          </w:p>
        </w:tc>
        <w:tc>
          <w:tcPr>
            <w:tcW w:w="1008" w:type="dxa"/>
            <w:vAlign w:val="center"/>
          </w:tcPr>
          <w:p w14:paraId="45AA84A2">
            <w:pPr>
              <w:pStyle w:val="15"/>
              <w:spacing w:before="1"/>
              <w:ind w:right="65"/>
              <w:jc w:val="center"/>
              <w:rPr>
                <w:rFonts w:hint="eastAsia" w:ascii="仿宋" w:hAnsi="仿宋" w:eastAsia="仿宋"/>
                <w:w w:val="102"/>
                <w:sz w:val="21"/>
                <w:szCs w:val="21"/>
              </w:rPr>
            </w:pPr>
          </w:p>
        </w:tc>
        <w:tc>
          <w:tcPr>
            <w:tcW w:w="1276" w:type="dxa"/>
            <w:vAlign w:val="center"/>
          </w:tcPr>
          <w:p w14:paraId="39AF09E7">
            <w:pPr>
              <w:pStyle w:val="15"/>
              <w:spacing w:before="1"/>
              <w:ind w:right="154"/>
              <w:jc w:val="center"/>
              <w:rPr>
                <w:rFonts w:hint="eastAsia" w:ascii="仿宋" w:hAnsi="仿宋" w:eastAsia="仿宋"/>
                <w:w w:val="102"/>
                <w:sz w:val="21"/>
                <w:szCs w:val="21"/>
              </w:rPr>
            </w:pPr>
          </w:p>
        </w:tc>
        <w:tc>
          <w:tcPr>
            <w:tcW w:w="1417" w:type="dxa"/>
            <w:vAlign w:val="center"/>
          </w:tcPr>
          <w:p w14:paraId="0B1BAE99">
            <w:pPr>
              <w:pStyle w:val="15"/>
              <w:spacing w:before="1"/>
              <w:ind w:left="212" w:right="87"/>
              <w:jc w:val="center"/>
              <w:rPr>
                <w:rFonts w:hint="eastAsia" w:ascii="仿宋" w:hAnsi="仿宋" w:eastAsia="仿宋"/>
                <w:w w:val="102"/>
                <w:sz w:val="21"/>
                <w:szCs w:val="21"/>
              </w:rPr>
            </w:pPr>
          </w:p>
        </w:tc>
        <w:tc>
          <w:tcPr>
            <w:tcW w:w="1701" w:type="dxa"/>
            <w:vAlign w:val="center"/>
          </w:tcPr>
          <w:p w14:paraId="4005E897">
            <w:pPr>
              <w:pStyle w:val="15"/>
              <w:spacing w:before="1" w:line="254" w:lineRule="exact"/>
              <w:ind w:left="52" w:right="33"/>
              <w:jc w:val="center"/>
              <w:rPr>
                <w:rFonts w:hint="eastAsia" w:ascii="仿宋" w:hAnsi="仿宋" w:eastAsia="仿宋"/>
                <w:w w:val="102"/>
                <w:sz w:val="21"/>
                <w:szCs w:val="21"/>
              </w:rPr>
            </w:pPr>
          </w:p>
        </w:tc>
        <w:tc>
          <w:tcPr>
            <w:tcW w:w="1276" w:type="dxa"/>
            <w:vAlign w:val="center"/>
          </w:tcPr>
          <w:p w14:paraId="3DB8CDDC">
            <w:pPr>
              <w:pStyle w:val="15"/>
              <w:spacing w:before="1"/>
              <w:ind w:left="123" w:right="10"/>
              <w:jc w:val="center"/>
              <w:rPr>
                <w:rFonts w:hint="eastAsia" w:ascii="仿宋" w:hAnsi="仿宋" w:eastAsia="仿宋"/>
                <w:w w:val="102"/>
                <w:sz w:val="21"/>
                <w:szCs w:val="21"/>
              </w:rPr>
            </w:pPr>
          </w:p>
        </w:tc>
        <w:tc>
          <w:tcPr>
            <w:tcW w:w="850" w:type="dxa"/>
            <w:vAlign w:val="center"/>
          </w:tcPr>
          <w:p w14:paraId="75BE4510">
            <w:pPr>
              <w:pStyle w:val="15"/>
              <w:spacing w:before="1"/>
              <w:ind w:left="13"/>
              <w:jc w:val="center"/>
              <w:rPr>
                <w:rFonts w:hint="eastAsia" w:ascii="仿宋" w:hAnsi="仿宋" w:eastAsia="仿宋"/>
                <w:w w:val="102"/>
                <w:sz w:val="21"/>
                <w:szCs w:val="21"/>
              </w:rPr>
            </w:pPr>
          </w:p>
        </w:tc>
        <w:tc>
          <w:tcPr>
            <w:tcW w:w="1215" w:type="dxa"/>
            <w:vAlign w:val="center"/>
          </w:tcPr>
          <w:p w14:paraId="1F6C7658">
            <w:pPr>
              <w:pStyle w:val="15"/>
              <w:spacing w:before="1"/>
              <w:ind w:right="373"/>
              <w:jc w:val="center"/>
              <w:rPr>
                <w:rFonts w:hint="eastAsia" w:ascii="仿宋" w:hAnsi="仿宋" w:eastAsia="仿宋"/>
                <w:w w:val="102"/>
                <w:sz w:val="20"/>
              </w:rPr>
            </w:pPr>
          </w:p>
        </w:tc>
      </w:tr>
      <w:tr w14:paraId="20B5F09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77" w:hRule="atLeast"/>
        </w:trPr>
        <w:tc>
          <w:tcPr>
            <w:tcW w:w="1309" w:type="dxa"/>
            <w:vAlign w:val="center"/>
          </w:tcPr>
          <w:p w14:paraId="1563F9BE">
            <w:pPr>
              <w:pStyle w:val="15"/>
              <w:spacing w:line="247" w:lineRule="exact"/>
              <w:ind w:left="112"/>
              <w:rPr>
                <w:rFonts w:hint="eastAsia" w:ascii="仿宋" w:hAnsi="仿宋" w:eastAsia="仿宋"/>
                <w:sz w:val="20"/>
              </w:rPr>
            </w:pPr>
            <w:r>
              <w:rPr>
                <w:rFonts w:ascii="仿宋" w:hAnsi="仿宋" w:eastAsia="仿宋"/>
                <w:spacing w:val="-4"/>
                <w:sz w:val="20"/>
              </w:rPr>
              <w:t>补充流动资</w:t>
            </w:r>
            <w:r>
              <w:rPr>
                <w:rFonts w:ascii="仿宋" w:hAnsi="仿宋" w:eastAsia="仿宋"/>
                <w:sz w:val="20"/>
              </w:rPr>
              <w:t>金（</w:t>
            </w:r>
            <w:r>
              <w:rPr>
                <w:rFonts w:ascii="仿宋" w:hAnsi="仿宋" w:eastAsia="仿宋"/>
                <w:spacing w:val="-7"/>
                <w:sz w:val="20"/>
              </w:rPr>
              <w:t>如有</w:t>
            </w:r>
            <w:r>
              <w:rPr>
                <w:rFonts w:ascii="仿宋" w:hAnsi="仿宋" w:eastAsia="仿宋"/>
                <w:sz w:val="20"/>
              </w:rPr>
              <w:t>）</w:t>
            </w:r>
          </w:p>
        </w:tc>
        <w:tc>
          <w:tcPr>
            <w:tcW w:w="851" w:type="dxa"/>
            <w:vAlign w:val="center"/>
          </w:tcPr>
          <w:p w14:paraId="3770B0A3">
            <w:pPr>
              <w:pStyle w:val="15"/>
              <w:spacing w:before="1"/>
              <w:ind w:right="207"/>
              <w:jc w:val="center"/>
              <w:rPr>
                <w:rFonts w:hint="eastAsia" w:ascii="仿宋" w:hAnsi="仿宋" w:eastAsia="仿宋"/>
                <w:w w:val="102"/>
                <w:sz w:val="21"/>
                <w:szCs w:val="21"/>
              </w:rPr>
            </w:pPr>
          </w:p>
        </w:tc>
        <w:tc>
          <w:tcPr>
            <w:tcW w:w="1260" w:type="dxa"/>
            <w:vAlign w:val="center"/>
          </w:tcPr>
          <w:p w14:paraId="7935230B">
            <w:pPr>
              <w:pStyle w:val="15"/>
              <w:spacing w:before="1"/>
              <w:ind w:right="155"/>
              <w:jc w:val="center"/>
              <w:rPr>
                <w:rFonts w:hint="eastAsia" w:ascii="仿宋" w:hAnsi="仿宋" w:eastAsia="仿宋"/>
                <w:w w:val="102"/>
                <w:sz w:val="21"/>
                <w:szCs w:val="21"/>
              </w:rPr>
            </w:pPr>
          </w:p>
        </w:tc>
        <w:tc>
          <w:tcPr>
            <w:tcW w:w="1418" w:type="dxa"/>
            <w:vAlign w:val="center"/>
          </w:tcPr>
          <w:p w14:paraId="068E684B">
            <w:pPr>
              <w:pStyle w:val="15"/>
              <w:spacing w:before="1"/>
              <w:ind w:right="239"/>
              <w:jc w:val="center"/>
              <w:rPr>
                <w:rFonts w:hint="eastAsia" w:ascii="仿宋" w:hAnsi="仿宋" w:eastAsia="仿宋"/>
                <w:w w:val="102"/>
                <w:sz w:val="21"/>
                <w:szCs w:val="21"/>
              </w:rPr>
            </w:pPr>
          </w:p>
        </w:tc>
        <w:tc>
          <w:tcPr>
            <w:tcW w:w="1008" w:type="dxa"/>
            <w:vAlign w:val="center"/>
          </w:tcPr>
          <w:p w14:paraId="2043AC23">
            <w:pPr>
              <w:pStyle w:val="15"/>
              <w:spacing w:before="1"/>
              <w:ind w:right="65"/>
              <w:jc w:val="center"/>
              <w:rPr>
                <w:rFonts w:hint="eastAsia" w:ascii="仿宋" w:hAnsi="仿宋" w:eastAsia="仿宋"/>
                <w:w w:val="102"/>
                <w:sz w:val="21"/>
                <w:szCs w:val="21"/>
              </w:rPr>
            </w:pPr>
          </w:p>
        </w:tc>
        <w:tc>
          <w:tcPr>
            <w:tcW w:w="1276" w:type="dxa"/>
            <w:vAlign w:val="center"/>
          </w:tcPr>
          <w:p w14:paraId="5F2F789B">
            <w:pPr>
              <w:pStyle w:val="15"/>
              <w:spacing w:before="1"/>
              <w:ind w:right="154"/>
              <w:jc w:val="center"/>
              <w:rPr>
                <w:rFonts w:hint="eastAsia" w:ascii="仿宋" w:hAnsi="仿宋" w:eastAsia="仿宋"/>
                <w:w w:val="102"/>
                <w:sz w:val="21"/>
                <w:szCs w:val="21"/>
              </w:rPr>
            </w:pPr>
          </w:p>
        </w:tc>
        <w:tc>
          <w:tcPr>
            <w:tcW w:w="1417" w:type="dxa"/>
            <w:vAlign w:val="center"/>
          </w:tcPr>
          <w:p w14:paraId="3B32AD7F">
            <w:pPr>
              <w:pStyle w:val="15"/>
              <w:spacing w:before="1"/>
              <w:ind w:left="212" w:right="87"/>
              <w:jc w:val="center"/>
              <w:rPr>
                <w:rFonts w:hint="eastAsia" w:ascii="仿宋" w:hAnsi="仿宋" w:eastAsia="仿宋"/>
                <w:w w:val="102"/>
                <w:sz w:val="21"/>
                <w:szCs w:val="21"/>
              </w:rPr>
            </w:pPr>
          </w:p>
        </w:tc>
        <w:tc>
          <w:tcPr>
            <w:tcW w:w="1701" w:type="dxa"/>
            <w:vAlign w:val="center"/>
          </w:tcPr>
          <w:p w14:paraId="2236BD27">
            <w:pPr>
              <w:pStyle w:val="15"/>
              <w:spacing w:before="1" w:line="254" w:lineRule="exact"/>
              <w:ind w:left="52" w:right="33"/>
              <w:jc w:val="center"/>
              <w:rPr>
                <w:rFonts w:hint="eastAsia" w:ascii="仿宋" w:hAnsi="仿宋" w:eastAsia="仿宋"/>
                <w:w w:val="102"/>
                <w:sz w:val="21"/>
                <w:szCs w:val="21"/>
              </w:rPr>
            </w:pPr>
          </w:p>
        </w:tc>
        <w:tc>
          <w:tcPr>
            <w:tcW w:w="1276" w:type="dxa"/>
            <w:vAlign w:val="center"/>
          </w:tcPr>
          <w:p w14:paraId="290336BE">
            <w:pPr>
              <w:pStyle w:val="15"/>
              <w:spacing w:before="1"/>
              <w:ind w:left="123" w:right="10"/>
              <w:jc w:val="center"/>
              <w:rPr>
                <w:rFonts w:hint="eastAsia" w:ascii="仿宋" w:hAnsi="仿宋" w:eastAsia="仿宋"/>
                <w:w w:val="102"/>
                <w:sz w:val="21"/>
                <w:szCs w:val="21"/>
              </w:rPr>
            </w:pPr>
          </w:p>
        </w:tc>
        <w:tc>
          <w:tcPr>
            <w:tcW w:w="850" w:type="dxa"/>
            <w:vAlign w:val="center"/>
          </w:tcPr>
          <w:p w14:paraId="7B57EBFD">
            <w:pPr>
              <w:pStyle w:val="15"/>
              <w:spacing w:before="1"/>
              <w:ind w:left="13"/>
              <w:jc w:val="center"/>
              <w:rPr>
                <w:rFonts w:hint="eastAsia" w:ascii="仿宋" w:hAnsi="仿宋" w:eastAsia="仿宋"/>
                <w:w w:val="102"/>
                <w:sz w:val="21"/>
                <w:szCs w:val="21"/>
              </w:rPr>
            </w:pPr>
          </w:p>
        </w:tc>
        <w:tc>
          <w:tcPr>
            <w:tcW w:w="1215" w:type="dxa"/>
            <w:vAlign w:val="center"/>
          </w:tcPr>
          <w:p w14:paraId="7705485C">
            <w:pPr>
              <w:pStyle w:val="15"/>
              <w:spacing w:before="1"/>
              <w:ind w:right="373"/>
              <w:jc w:val="center"/>
              <w:rPr>
                <w:rFonts w:hint="eastAsia" w:ascii="仿宋" w:hAnsi="仿宋" w:eastAsia="仿宋"/>
                <w:w w:val="102"/>
                <w:sz w:val="20"/>
              </w:rPr>
            </w:pPr>
          </w:p>
        </w:tc>
      </w:tr>
      <w:tr w14:paraId="531A31B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77" w:hRule="atLeast"/>
        </w:trPr>
        <w:tc>
          <w:tcPr>
            <w:tcW w:w="1309" w:type="dxa"/>
            <w:vAlign w:val="center"/>
          </w:tcPr>
          <w:p w14:paraId="7EDB1AAE">
            <w:pPr>
              <w:pStyle w:val="15"/>
              <w:spacing w:line="247" w:lineRule="exact"/>
              <w:ind w:left="112"/>
              <w:rPr>
                <w:rFonts w:hint="eastAsia" w:ascii="仿宋" w:hAnsi="仿宋" w:eastAsia="仿宋"/>
                <w:sz w:val="20"/>
              </w:rPr>
            </w:pPr>
            <w:r>
              <w:rPr>
                <w:rFonts w:ascii="仿宋" w:hAnsi="仿宋" w:eastAsia="仿宋"/>
                <w:b/>
                <w:sz w:val="20"/>
              </w:rPr>
              <w:t>超募资金投向小计</w:t>
            </w:r>
          </w:p>
        </w:tc>
        <w:tc>
          <w:tcPr>
            <w:tcW w:w="851" w:type="dxa"/>
            <w:vAlign w:val="center"/>
          </w:tcPr>
          <w:p w14:paraId="369B78E7">
            <w:pPr>
              <w:pStyle w:val="15"/>
              <w:spacing w:before="1"/>
              <w:ind w:right="207"/>
              <w:jc w:val="center"/>
              <w:rPr>
                <w:rFonts w:hint="eastAsia" w:ascii="仿宋" w:hAnsi="仿宋" w:eastAsia="仿宋"/>
                <w:w w:val="102"/>
                <w:sz w:val="21"/>
                <w:szCs w:val="21"/>
              </w:rPr>
            </w:pPr>
          </w:p>
        </w:tc>
        <w:tc>
          <w:tcPr>
            <w:tcW w:w="1260" w:type="dxa"/>
            <w:vAlign w:val="center"/>
          </w:tcPr>
          <w:p w14:paraId="0579FAC8">
            <w:pPr>
              <w:pStyle w:val="15"/>
              <w:spacing w:before="1"/>
              <w:ind w:right="155"/>
              <w:jc w:val="center"/>
              <w:rPr>
                <w:rFonts w:hint="eastAsia" w:ascii="仿宋" w:hAnsi="仿宋" w:eastAsia="仿宋"/>
                <w:w w:val="102"/>
                <w:sz w:val="21"/>
                <w:szCs w:val="21"/>
              </w:rPr>
            </w:pPr>
          </w:p>
        </w:tc>
        <w:tc>
          <w:tcPr>
            <w:tcW w:w="1418" w:type="dxa"/>
            <w:vAlign w:val="center"/>
          </w:tcPr>
          <w:p w14:paraId="33967B5C">
            <w:pPr>
              <w:pStyle w:val="15"/>
              <w:spacing w:before="1"/>
              <w:ind w:right="239"/>
              <w:jc w:val="center"/>
              <w:rPr>
                <w:rFonts w:hint="eastAsia" w:ascii="仿宋" w:hAnsi="仿宋" w:eastAsia="仿宋"/>
                <w:w w:val="102"/>
                <w:sz w:val="21"/>
                <w:szCs w:val="21"/>
              </w:rPr>
            </w:pPr>
          </w:p>
        </w:tc>
        <w:tc>
          <w:tcPr>
            <w:tcW w:w="1008" w:type="dxa"/>
            <w:vAlign w:val="center"/>
          </w:tcPr>
          <w:p w14:paraId="2F0754CF">
            <w:pPr>
              <w:pStyle w:val="15"/>
              <w:spacing w:before="1"/>
              <w:ind w:right="65"/>
              <w:jc w:val="center"/>
              <w:rPr>
                <w:rFonts w:hint="eastAsia" w:ascii="仿宋" w:hAnsi="仿宋" w:eastAsia="仿宋"/>
                <w:w w:val="102"/>
                <w:sz w:val="21"/>
                <w:szCs w:val="21"/>
              </w:rPr>
            </w:pPr>
          </w:p>
        </w:tc>
        <w:tc>
          <w:tcPr>
            <w:tcW w:w="1276" w:type="dxa"/>
            <w:vAlign w:val="center"/>
          </w:tcPr>
          <w:p w14:paraId="474D619D">
            <w:pPr>
              <w:pStyle w:val="15"/>
              <w:spacing w:before="1"/>
              <w:ind w:right="154"/>
              <w:jc w:val="center"/>
              <w:rPr>
                <w:rFonts w:hint="eastAsia" w:ascii="仿宋" w:hAnsi="仿宋" w:eastAsia="仿宋"/>
                <w:w w:val="102"/>
                <w:sz w:val="21"/>
                <w:szCs w:val="21"/>
              </w:rPr>
            </w:pPr>
          </w:p>
        </w:tc>
        <w:tc>
          <w:tcPr>
            <w:tcW w:w="1417" w:type="dxa"/>
            <w:vAlign w:val="center"/>
          </w:tcPr>
          <w:p w14:paraId="7EA6AAC2">
            <w:pPr>
              <w:pStyle w:val="15"/>
              <w:spacing w:before="1"/>
              <w:ind w:left="212" w:right="87"/>
              <w:jc w:val="center"/>
              <w:rPr>
                <w:rFonts w:hint="eastAsia" w:ascii="仿宋" w:hAnsi="仿宋" w:eastAsia="仿宋"/>
                <w:w w:val="102"/>
                <w:sz w:val="21"/>
                <w:szCs w:val="21"/>
              </w:rPr>
            </w:pPr>
          </w:p>
        </w:tc>
        <w:tc>
          <w:tcPr>
            <w:tcW w:w="1701" w:type="dxa"/>
            <w:vAlign w:val="center"/>
          </w:tcPr>
          <w:p w14:paraId="5AF1D5CD">
            <w:pPr>
              <w:pStyle w:val="15"/>
              <w:spacing w:before="1" w:line="254" w:lineRule="exact"/>
              <w:ind w:left="52" w:right="33"/>
              <w:jc w:val="center"/>
              <w:rPr>
                <w:rFonts w:hint="eastAsia" w:ascii="仿宋" w:hAnsi="仿宋" w:eastAsia="仿宋"/>
                <w:w w:val="102"/>
                <w:sz w:val="21"/>
                <w:szCs w:val="21"/>
              </w:rPr>
            </w:pPr>
          </w:p>
        </w:tc>
        <w:tc>
          <w:tcPr>
            <w:tcW w:w="1276" w:type="dxa"/>
            <w:vAlign w:val="center"/>
          </w:tcPr>
          <w:p w14:paraId="0AA40719">
            <w:pPr>
              <w:pStyle w:val="15"/>
              <w:spacing w:before="1"/>
              <w:ind w:left="123" w:right="10"/>
              <w:jc w:val="center"/>
              <w:rPr>
                <w:rFonts w:hint="eastAsia" w:ascii="仿宋" w:hAnsi="仿宋" w:eastAsia="仿宋"/>
                <w:w w:val="102"/>
                <w:sz w:val="21"/>
                <w:szCs w:val="21"/>
              </w:rPr>
            </w:pPr>
          </w:p>
        </w:tc>
        <w:tc>
          <w:tcPr>
            <w:tcW w:w="850" w:type="dxa"/>
            <w:vAlign w:val="center"/>
          </w:tcPr>
          <w:p w14:paraId="51B0F397">
            <w:pPr>
              <w:pStyle w:val="15"/>
              <w:spacing w:before="1"/>
              <w:ind w:left="13"/>
              <w:jc w:val="center"/>
              <w:rPr>
                <w:rFonts w:hint="eastAsia" w:ascii="仿宋" w:hAnsi="仿宋" w:eastAsia="仿宋"/>
                <w:w w:val="102"/>
                <w:sz w:val="21"/>
                <w:szCs w:val="21"/>
              </w:rPr>
            </w:pPr>
          </w:p>
        </w:tc>
        <w:tc>
          <w:tcPr>
            <w:tcW w:w="1215" w:type="dxa"/>
            <w:vAlign w:val="center"/>
          </w:tcPr>
          <w:p w14:paraId="0C7DD9D3">
            <w:pPr>
              <w:pStyle w:val="15"/>
              <w:spacing w:before="1"/>
              <w:ind w:right="373"/>
              <w:jc w:val="center"/>
              <w:rPr>
                <w:rFonts w:hint="eastAsia" w:ascii="仿宋" w:hAnsi="仿宋" w:eastAsia="仿宋"/>
                <w:w w:val="102"/>
                <w:sz w:val="20"/>
              </w:rPr>
            </w:pPr>
          </w:p>
        </w:tc>
      </w:tr>
      <w:tr w14:paraId="01B303B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77" w:hRule="atLeast"/>
        </w:trPr>
        <w:tc>
          <w:tcPr>
            <w:tcW w:w="1309" w:type="dxa"/>
          </w:tcPr>
          <w:p w14:paraId="2EF13C6D">
            <w:pPr>
              <w:pStyle w:val="15"/>
              <w:rPr>
                <w:rFonts w:hint="eastAsia" w:ascii="仿宋" w:hAnsi="仿宋" w:eastAsia="仿宋"/>
                <w:sz w:val="20"/>
              </w:rPr>
            </w:pPr>
          </w:p>
          <w:p w14:paraId="77A7F55D">
            <w:pPr>
              <w:pStyle w:val="15"/>
              <w:spacing w:line="247" w:lineRule="exact"/>
              <w:ind w:left="112"/>
              <w:rPr>
                <w:rFonts w:hint="eastAsia" w:ascii="仿宋" w:hAnsi="仿宋" w:eastAsia="仿宋"/>
                <w:sz w:val="20"/>
              </w:rPr>
            </w:pPr>
            <w:r>
              <w:rPr>
                <w:rFonts w:ascii="仿宋" w:hAnsi="仿宋" w:eastAsia="仿宋"/>
                <w:b/>
                <w:sz w:val="20"/>
              </w:rPr>
              <w:t>合计</w:t>
            </w:r>
          </w:p>
        </w:tc>
        <w:tc>
          <w:tcPr>
            <w:tcW w:w="851" w:type="dxa"/>
            <w:vAlign w:val="center"/>
          </w:tcPr>
          <w:p w14:paraId="017CF3D7">
            <w:pPr>
              <w:pStyle w:val="15"/>
              <w:spacing w:before="1"/>
              <w:ind w:right="207"/>
              <w:jc w:val="center"/>
              <w:rPr>
                <w:rFonts w:hint="eastAsia" w:ascii="仿宋" w:hAnsi="仿宋" w:eastAsia="仿宋"/>
                <w:w w:val="102"/>
                <w:sz w:val="21"/>
                <w:szCs w:val="21"/>
              </w:rPr>
            </w:pPr>
          </w:p>
        </w:tc>
        <w:tc>
          <w:tcPr>
            <w:tcW w:w="1260" w:type="dxa"/>
            <w:vAlign w:val="center"/>
          </w:tcPr>
          <w:p w14:paraId="31A326BE">
            <w:pPr>
              <w:pStyle w:val="15"/>
              <w:spacing w:before="1"/>
              <w:ind w:right="155"/>
              <w:jc w:val="center"/>
              <w:rPr>
                <w:rFonts w:hint="eastAsia" w:ascii="仿宋" w:hAnsi="仿宋" w:eastAsia="仿宋"/>
                <w:w w:val="102"/>
                <w:sz w:val="21"/>
                <w:szCs w:val="21"/>
              </w:rPr>
            </w:pPr>
            <w:r>
              <w:rPr>
                <w:rFonts w:ascii="仿宋" w:hAnsi="仿宋" w:eastAsia="仿宋"/>
                <w:sz w:val="21"/>
                <w:szCs w:val="21"/>
              </w:rPr>
              <w:t>383,993.00</w:t>
            </w:r>
          </w:p>
        </w:tc>
        <w:tc>
          <w:tcPr>
            <w:tcW w:w="1418" w:type="dxa"/>
            <w:vAlign w:val="center"/>
          </w:tcPr>
          <w:p w14:paraId="5B12243C">
            <w:pPr>
              <w:pStyle w:val="15"/>
              <w:spacing w:before="1"/>
              <w:ind w:right="239"/>
              <w:jc w:val="center"/>
              <w:rPr>
                <w:rFonts w:hint="eastAsia" w:ascii="仿宋" w:hAnsi="仿宋" w:eastAsia="仿宋"/>
                <w:w w:val="102"/>
                <w:sz w:val="21"/>
                <w:szCs w:val="21"/>
              </w:rPr>
            </w:pPr>
            <w:r>
              <w:rPr>
                <w:rFonts w:ascii="仿宋" w:hAnsi="仿宋" w:eastAsia="仿宋"/>
                <w:sz w:val="21"/>
                <w:szCs w:val="21"/>
              </w:rPr>
              <w:t>383,993.00</w:t>
            </w:r>
          </w:p>
        </w:tc>
        <w:tc>
          <w:tcPr>
            <w:tcW w:w="1008" w:type="dxa"/>
            <w:vAlign w:val="center"/>
          </w:tcPr>
          <w:p w14:paraId="6204F5A3">
            <w:pPr>
              <w:pStyle w:val="15"/>
              <w:spacing w:before="1"/>
              <w:ind w:right="65"/>
              <w:jc w:val="center"/>
              <w:rPr>
                <w:rFonts w:hint="eastAsia" w:ascii="仿宋" w:hAnsi="仿宋" w:eastAsia="仿宋"/>
                <w:w w:val="102"/>
                <w:sz w:val="21"/>
                <w:szCs w:val="21"/>
              </w:rPr>
            </w:pPr>
            <w:r>
              <w:rPr>
                <w:rFonts w:hint="eastAsia" w:ascii="仿宋" w:hAnsi="仿宋" w:eastAsia="仿宋"/>
                <w:sz w:val="21"/>
                <w:szCs w:val="21"/>
              </w:rPr>
              <w:t>274.15</w:t>
            </w:r>
          </w:p>
        </w:tc>
        <w:tc>
          <w:tcPr>
            <w:tcW w:w="1276" w:type="dxa"/>
            <w:vAlign w:val="center"/>
          </w:tcPr>
          <w:p w14:paraId="73505CA8">
            <w:pPr>
              <w:pStyle w:val="15"/>
              <w:spacing w:before="1"/>
              <w:ind w:right="154"/>
              <w:jc w:val="center"/>
              <w:rPr>
                <w:rFonts w:hint="eastAsia" w:ascii="仿宋" w:hAnsi="仿宋" w:eastAsia="仿宋"/>
                <w:w w:val="102"/>
                <w:sz w:val="21"/>
                <w:szCs w:val="21"/>
              </w:rPr>
            </w:pPr>
            <w:r>
              <w:rPr>
                <w:rFonts w:hint="eastAsia" w:ascii="仿宋" w:hAnsi="仿宋" w:eastAsia="仿宋"/>
                <w:sz w:val="21"/>
                <w:szCs w:val="21"/>
              </w:rPr>
              <w:t>359,986.67</w:t>
            </w:r>
          </w:p>
        </w:tc>
        <w:tc>
          <w:tcPr>
            <w:tcW w:w="1417" w:type="dxa"/>
            <w:vAlign w:val="center"/>
          </w:tcPr>
          <w:p w14:paraId="6CFF8F31">
            <w:pPr>
              <w:pStyle w:val="15"/>
              <w:spacing w:before="1"/>
              <w:ind w:left="212" w:right="87"/>
              <w:jc w:val="center"/>
              <w:rPr>
                <w:rFonts w:hint="eastAsia" w:ascii="仿宋" w:hAnsi="仿宋" w:eastAsia="仿宋"/>
                <w:w w:val="102"/>
                <w:sz w:val="21"/>
                <w:szCs w:val="21"/>
              </w:rPr>
            </w:pPr>
            <w:r>
              <w:rPr>
                <w:rFonts w:ascii="仿宋" w:hAnsi="仿宋" w:eastAsia="仿宋"/>
                <w:sz w:val="21"/>
                <w:szCs w:val="21"/>
              </w:rPr>
              <w:t>9</w:t>
            </w:r>
            <w:r>
              <w:rPr>
                <w:rFonts w:hint="eastAsia" w:ascii="仿宋" w:hAnsi="仿宋" w:eastAsia="仿宋"/>
                <w:sz w:val="21"/>
                <w:szCs w:val="21"/>
              </w:rPr>
              <w:t>3</w:t>
            </w:r>
            <w:r>
              <w:rPr>
                <w:rFonts w:ascii="仿宋" w:hAnsi="仿宋" w:eastAsia="仿宋"/>
                <w:sz w:val="21"/>
                <w:szCs w:val="21"/>
              </w:rPr>
              <w:t>.</w:t>
            </w:r>
            <w:r>
              <w:rPr>
                <w:rFonts w:hint="eastAsia" w:ascii="仿宋" w:hAnsi="仿宋" w:eastAsia="仿宋"/>
                <w:sz w:val="21"/>
                <w:szCs w:val="21"/>
              </w:rPr>
              <w:t>75</w:t>
            </w:r>
          </w:p>
        </w:tc>
        <w:tc>
          <w:tcPr>
            <w:tcW w:w="1701" w:type="dxa"/>
            <w:vAlign w:val="center"/>
          </w:tcPr>
          <w:p w14:paraId="232535E0">
            <w:pPr>
              <w:pStyle w:val="15"/>
              <w:spacing w:before="1" w:line="254" w:lineRule="exact"/>
              <w:ind w:left="52" w:right="33"/>
              <w:jc w:val="center"/>
              <w:rPr>
                <w:rFonts w:hint="eastAsia" w:ascii="仿宋" w:hAnsi="仿宋" w:eastAsia="仿宋"/>
                <w:w w:val="102"/>
                <w:sz w:val="21"/>
                <w:szCs w:val="21"/>
              </w:rPr>
            </w:pPr>
          </w:p>
        </w:tc>
        <w:tc>
          <w:tcPr>
            <w:tcW w:w="1276" w:type="dxa"/>
            <w:vAlign w:val="center"/>
          </w:tcPr>
          <w:p w14:paraId="65909B94">
            <w:pPr>
              <w:pStyle w:val="15"/>
              <w:spacing w:before="1"/>
              <w:ind w:left="123" w:right="10"/>
              <w:jc w:val="center"/>
              <w:rPr>
                <w:rFonts w:hint="eastAsia" w:ascii="仿宋" w:hAnsi="仿宋" w:eastAsia="仿宋"/>
                <w:w w:val="102"/>
                <w:sz w:val="21"/>
                <w:szCs w:val="21"/>
              </w:rPr>
            </w:pPr>
            <w:r>
              <w:rPr>
                <w:rFonts w:hint="eastAsia" w:ascii="仿宋" w:hAnsi="仿宋" w:eastAsia="仿宋"/>
                <w:sz w:val="21"/>
                <w:szCs w:val="21"/>
              </w:rPr>
              <w:t>7,808.56</w:t>
            </w:r>
          </w:p>
        </w:tc>
        <w:tc>
          <w:tcPr>
            <w:tcW w:w="850" w:type="dxa"/>
            <w:vAlign w:val="center"/>
          </w:tcPr>
          <w:p w14:paraId="77AD685C">
            <w:pPr>
              <w:pStyle w:val="15"/>
              <w:spacing w:before="1"/>
              <w:ind w:left="13"/>
              <w:jc w:val="center"/>
              <w:rPr>
                <w:rFonts w:hint="eastAsia" w:ascii="仿宋" w:hAnsi="仿宋" w:eastAsia="仿宋"/>
                <w:w w:val="102"/>
                <w:sz w:val="21"/>
                <w:szCs w:val="21"/>
              </w:rPr>
            </w:pPr>
          </w:p>
        </w:tc>
        <w:tc>
          <w:tcPr>
            <w:tcW w:w="1215" w:type="dxa"/>
            <w:vAlign w:val="center"/>
          </w:tcPr>
          <w:p w14:paraId="52898B54">
            <w:pPr>
              <w:pStyle w:val="15"/>
              <w:spacing w:before="1"/>
              <w:ind w:right="373"/>
              <w:jc w:val="center"/>
              <w:rPr>
                <w:rFonts w:hint="eastAsia" w:ascii="仿宋" w:hAnsi="仿宋" w:eastAsia="仿宋"/>
                <w:w w:val="102"/>
                <w:sz w:val="20"/>
              </w:rPr>
            </w:pPr>
          </w:p>
        </w:tc>
      </w:tr>
    </w:tbl>
    <w:p w14:paraId="3E28C412">
      <w:pPr>
        <w:rPr>
          <w:rFonts w:hint="eastAsia"/>
          <w:sz w:val="20"/>
        </w:rPr>
        <w:sectPr>
          <w:footerReference r:id="rId4" w:type="default"/>
          <w:pgSz w:w="15840" w:h="12240" w:orient="landscape"/>
          <w:pgMar w:top="1140" w:right="580" w:bottom="820" w:left="1220" w:header="0" w:footer="637" w:gutter="0"/>
          <w:pgNumType w:start="6"/>
          <w:cols w:space="720" w:num="1"/>
        </w:sectPr>
      </w:pPr>
    </w:p>
    <w:p w14:paraId="4CBE2C96">
      <w:pPr>
        <w:pStyle w:val="6"/>
        <w:spacing w:before="6"/>
        <w:ind w:left="0"/>
        <w:rPr>
          <w:rFonts w:hint="eastAsia"/>
          <w:sz w:val="17"/>
        </w:rPr>
      </w:pPr>
    </w:p>
    <w:tbl>
      <w:tblPr>
        <w:tblStyle w:val="13"/>
        <w:tblW w:w="0" w:type="auto"/>
        <w:tblInd w:w="116"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601"/>
        <w:gridCol w:w="8982"/>
      </w:tblGrid>
      <w:tr w14:paraId="3D9DC93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546" w:hRule="atLeast"/>
        </w:trPr>
        <w:tc>
          <w:tcPr>
            <w:tcW w:w="4601" w:type="dxa"/>
            <w:vAlign w:val="center"/>
          </w:tcPr>
          <w:p w14:paraId="36C14E89">
            <w:pPr>
              <w:pStyle w:val="15"/>
              <w:spacing w:before="179"/>
              <w:ind w:left="112"/>
              <w:rPr>
                <w:rFonts w:hint="eastAsia" w:ascii="仿宋" w:hAnsi="仿宋" w:eastAsia="仿宋"/>
                <w:sz w:val="20"/>
              </w:rPr>
            </w:pPr>
            <w:r>
              <w:rPr>
                <w:rFonts w:ascii="仿宋" w:hAnsi="仿宋" w:eastAsia="仿宋"/>
                <w:sz w:val="20"/>
              </w:rPr>
              <w:t>未达到计划进度或预计收益的情况和原因</w:t>
            </w:r>
            <w:r>
              <w:rPr>
                <w:rFonts w:hint="eastAsia" w:ascii="仿宋" w:hAnsi="仿宋" w:eastAsia="仿宋"/>
                <w:sz w:val="20"/>
              </w:rPr>
              <w:t>（分具体项目）</w:t>
            </w:r>
          </w:p>
        </w:tc>
        <w:tc>
          <w:tcPr>
            <w:tcW w:w="8982" w:type="dxa"/>
            <w:vAlign w:val="center"/>
          </w:tcPr>
          <w:p w14:paraId="30EEA1A8">
            <w:pPr>
              <w:pStyle w:val="15"/>
              <w:spacing w:line="235" w:lineRule="auto"/>
              <w:ind w:left="112" w:right="77"/>
              <w:rPr>
                <w:rFonts w:hint="eastAsia" w:ascii="仿宋" w:hAnsi="仿宋" w:eastAsia="仿宋"/>
                <w:spacing w:val="6"/>
                <w:sz w:val="20"/>
              </w:rPr>
            </w:pPr>
            <w:r>
              <w:rPr>
                <w:rFonts w:ascii="仿宋" w:hAnsi="仿宋" w:eastAsia="仿宋"/>
                <w:spacing w:val="-9"/>
                <w:sz w:val="20"/>
              </w:rPr>
              <w:t>本报告期上述募投项目，实现收</w:t>
            </w:r>
            <w:r>
              <w:rPr>
                <w:rFonts w:ascii="仿宋" w:hAnsi="仿宋" w:eastAsia="仿宋"/>
                <w:spacing w:val="6"/>
                <w:sz w:val="20"/>
              </w:rPr>
              <w:t>益</w:t>
            </w:r>
            <w:r>
              <w:rPr>
                <w:rFonts w:hint="eastAsia" w:ascii="仿宋" w:hAnsi="仿宋" w:eastAsia="仿宋"/>
                <w:spacing w:val="6"/>
                <w:sz w:val="20"/>
              </w:rPr>
              <w:t>7,808.56</w:t>
            </w:r>
            <w:r>
              <w:rPr>
                <w:rFonts w:ascii="仿宋" w:hAnsi="仿宋" w:eastAsia="仿宋"/>
                <w:spacing w:val="6"/>
                <w:sz w:val="20"/>
              </w:rPr>
              <w:t>万元，达到</w:t>
            </w:r>
            <w:r>
              <w:rPr>
                <w:rFonts w:ascii="仿宋" w:hAnsi="仿宋" w:eastAsia="仿宋"/>
                <w:spacing w:val="-7"/>
                <w:sz w:val="20"/>
              </w:rPr>
              <w:t>预期收益</w:t>
            </w:r>
            <w:r>
              <w:rPr>
                <w:rFonts w:ascii="仿宋" w:hAnsi="仿宋" w:eastAsia="仿宋"/>
                <w:spacing w:val="6"/>
                <w:sz w:val="20"/>
              </w:rPr>
              <w:t>的</w:t>
            </w:r>
            <w:r>
              <w:rPr>
                <w:rFonts w:hint="eastAsia" w:ascii="仿宋" w:hAnsi="仿宋" w:eastAsia="仿宋"/>
                <w:spacing w:val="6"/>
                <w:sz w:val="20"/>
              </w:rPr>
              <w:t>77.43%</w:t>
            </w:r>
            <w:r>
              <w:rPr>
                <w:rFonts w:ascii="仿宋" w:hAnsi="仿宋" w:eastAsia="仿宋"/>
                <w:spacing w:val="6"/>
                <w:sz w:val="20"/>
              </w:rPr>
              <w:t>，部分项目未达到预期收益的原因如下：</w:t>
            </w:r>
          </w:p>
          <w:p w14:paraId="4DBC733C">
            <w:pPr>
              <w:pStyle w:val="15"/>
              <w:spacing w:line="235" w:lineRule="auto"/>
              <w:ind w:left="112" w:right="77"/>
              <w:rPr>
                <w:rFonts w:hint="eastAsia" w:ascii="仿宋" w:hAnsi="仿宋" w:eastAsia="仿宋"/>
                <w:sz w:val="20"/>
              </w:rPr>
            </w:pPr>
            <w:r>
              <w:rPr>
                <w:rFonts w:hint="eastAsia" w:ascii="仿宋" w:hAnsi="仿宋" w:eastAsia="仿宋"/>
                <w:sz w:val="20"/>
              </w:rPr>
              <w:t>1.青海诺木洪大格勒河东风电场一期工程未达到预计收益的原因为：青海地区新增新能源发电项目较多，电网稳定性受到影响，限电量增加，发电利用小时数没有达到预期，同时因参与市场交易影响部分电价。</w:t>
            </w:r>
          </w:p>
          <w:p w14:paraId="519DB065">
            <w:pPr>
              <w:pStyle w:val="15"/>
              <w:spacing w:line="235" w:lineRule="auto"/>
              <w:ind w:left="112" w:right="77"/>
              <w:rPr>
                <w:rFonts w:hint="eastAsia" w:ascii="仿宋" w:hAnsi="仿宋" w:eastAsia="仿宋"/>
                <w:sz w:val="20"/>
              </w:rPr>
            </w:pPr>
            <w:r>
              <w:rPr>
                <w:rFonts w:hint="eastAsia" w:ascii="仿宋" w:hAnsi="仿宋" w:eastAsia="仿宋"/>
                <w:sz w:val="20"/>
              </w:rPr>
              <w:t>2.</w:t>
            </w:r>
            <w:r>
              <w:rPr>
                <w:rFonts w:ascii="仿宋" w:hAnsi="仿宋" w:eastAsia="仿宋"/>
                <w:sz w:val="20"/>
              </w:rPr>
              <w:t>吉林长岭腰井子风电场二期工程</w:t>
            </w:r>
            <w:r>
              <w:rPr>
                <w:rFonts w:hint="eastAsia" w:ascii="仿宋" w:hAnsi="仿宋" w:eastAsia="仿宋"/>
                <w:sz w:val="20"/>
              </w:rPr>
              <w:t>未达到预计收益的原因为：市场环境供大于求，省内新能源装机容量大幅增加，消纳能力基本未变，导致限电增加。现货交易开启后，参与市场化交易影响部分电价。</w:t>
            </w:r>
          </w:p>
          <w:p w14:paraId="2984E63D">
            <w:pPr>
              <w:pStyle w:val="15"/>
              <w:spacing w:line="235" w:lineRule="auto"/>
              <w:ind w:left="112" w:right="77"/>
              <w:rPr>
                <w:rFonts w:hint="eastAsia" w:ascii="仿宋" w:hAnsi="仿宋" w:eastAsia="仿宋"/>
                <w:sz w:val="20"/>
              </w:rPr>
            </w:pPr>
            <w:r>
              <w:rPr>
                <w:rFonts w:hint="eastAsia" w:ascii="仿宋" w:hAnsi="仿宋" w:eastAsia="仿宋"/>
                <w:sz w:val="20"/>
              </w:rPr>
              <w:t>3.</w:t>
            </w:r>
            <w:r>
              <w:rPr>
                <w:rFonts w:ascii="仿宋" w:hAnsi="仿宋" w:eastAsia="仿宋"/>
                <w:spacing w:val="-9"/>
                <w:sz w:val="20"/>
              </w:rPr>
              <w:t>吉林长岭</w:t>
            </w:r>
            <w:r>
              <w:rPr>
                <w:rFonts w:ascii="仿宋" w:hAnsi="仿宋" w:eastAsia="仿宋"/>
                <w:spacing w:val="-4"/>
                <w:sz w:val="20"/>
              </w:rPr>
              <w:t>三十号风电场二期工程</w:t>
            </w:r>
            <w:r>
              <w:rPr>
                <w:rFonts w:hint="eastAsia" w:ascii="仿宋" w:hAnsi="仿宋" w:eastAsia="仿宋"/>
                <w:sz w:val="20"/>
              </w:rPr>
              <w:t>未达到预计收益的原因为：市场环境供大于求，省内新能源装机容量大幅增加，消纳能力基本未变，导致限电增加。现货交易开启后，参与市场化交易影响部分电价。</w:t>
            </w:r>
          </w:p>
          <w:p w14:paraId="6A8179F0">
            <w:pPr>
              <w:pStyle w:val="15"/>
              <w:spacing w:line="235" w:lineRule="auto"/>
              <w:ind w:left="112" w:right="77"/>
              <w:rPr>
                <w:rFonts w:hint="eastAsia" w:ascii="仿宋" w:hAnsi="仿宋" w:eastAsia="仿宋"/>
                <w:sz w:val="20"/>
              </w:rPr>
            </w:pPr>
            <w:r>
              <w:rPr>
                <w:rFonts w:hint="eastAsia" w:ascii="仿宋" w:hAnsi="仿宋" w:eastAsia="仿宋"/>
                <w:sz w:val="20"/>
              </w:rPr>
              <w:t>4.三塘湖99MW风电并网发电项目未达到预计收益的原因为：项目所在地限电情况较为严重，同时因市场化交易导致实际售电单价较低。</w:t>
            </w:r>
          </w:p>
          <w:p w14:paraId="042FECD8">
            <w:pPr>
              <w:pStyle w:val="15"/>
              <w:spacing w:line="235" w:lineRule="auto"/>
              <w:ind w:left="112" w:right="77"/>
              <w:rPr>
                <w:rFonts w:hint="eastAsia" w:ascii="仿宋" w:hAnsi="仿宋" w:eastAsia="仿宋"/>
                <w:sz w:val="20"/>
              </w:rPr>
            </w:pPr>
            <w:r>
              <w:rPr>
                <w:rFonts w:hint="eastAsia" w:ascii="仿宋" w:hAnsi="仿宋" w:eastAsia="仿宋"/>
                <w:sz w:val="20"/>
              </w:rPr>
              <w:t>5.陕西定边150MW并网光伏发电项目未达到预计收益的原因为：陕西地区新增投产项目影响项目电量消纳，导致项目发电小时数未达预期，同时因市场化交易导致实际售电单价较低。</w:t>
            </w:r>
          </w:p>
        </w:tc>
      </w:tr>
      <w:tr w14:paraId="19D5948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8" w:hRule="atLeast"/>
        </w:trPr>
        <w:tc>
          <w:tcPr>
            <w:tcW w:w="4601" w:type="dxa"/>
            <w:vAlign w:val="center"/>
          </w:tcPr>
          <w:p w14:paraId="693D76BB">
            <w:pPr>
              <w:pStyle w:val="15"/>
              <w:spacing w:before="86"/>
              <w:ind w:left="112"/>
              <w:rPr>
                <w:rFonts w:hint="eastAsia" w:ascii="仿宋" w:hAnsi="仿宋" w:eastAsia="仿宋"/>
                <w:sz w:val="20"/>
              </w:rPr>
            </w:pPr>
            <w:r>
              <w:rPr>
                <w:rFonts w:ascii="仿宋" w:hAnsi="仿宋" w:eastAsia="仿宋"/>
                <w:sz w:val="20"/>
              </w:rPr>
              <w:t>项目可行性发生重大变化的情况说明</w:t>
            </w:r>
          </w:p>
        </w:tc>
        <w:tc>
          <w:tcPr>
            <w:tcW w:w="8982" w:type="dxa"/>
            <w:vAlign w:val="center"/>
          </w:tcPr>
          <w:p w14:paraId="7600DAC4">
            <w:pPr>
              <w:pStyle w:val="15"/>
              <w:spacing w:before="86"/>
              <w:ind w:left="112"/>
              <w:rPr>
                <w:rFonts w:hint="eastAsia" w:ascii="仿宋" w:hAnsi="仿宋" w:eastAsia="仿宋"/>
                <w:sz w:val="20"/>
              </w:rPr>
            </w:pPr>
            <w:r>
              <w:rPr>
                <w:rFonts w:ascii="仿宋" w:hAnsi="仿宋" w:eastAsia="仿宋"/>
                <w:sz w:val="20"/>
              </w:rPr>
              <w:t>不适用</w:t>
            </w:r>
          </w:p>
        </w:tc>
      </w:tr>
      <w:tr w14:paraId="6275E50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6" w:hRule="atLeast"/>
        </w:trPr>
        <w:tc>
          <w:tcPr>
            <w:tcW w:w="4601" w:type="dxa"/>
            <w:vAlign w:val="center"/>
          </w:tcPr>
          <w:p w14:paraId="31B0CF19">
            <w:pPr>
              <w:pStyle w:val="15"/>
              <w:spacing w:before="75"/>
              <w:ind w:left="112"/>
              <w:rPr>
                <w:rFonts w:hint="eastAsia" w:ascii="仿宋" w:hAnsi="仿宋" w:eastAsia="仿宋"/>
                <w:sz w:val="20"/>
              </w:rPr>
            </w:pPr>
            <w:r>
              <w:rPr>
                <w:rFonts w:ascii="仿宋" w:hAnsi="仿宋" w:eastAsia="仿宋"/>
                <w:sz w:val="20"/>
              </w:rPr>
              <w:t>超募资金的金额、用途及使用进展情况</w:t>
            </w:r>
          </w:p>
        </w:tc>
        <w:tc>
          <w:tcPr>
            <w:tcW w:w="8982" w:type="dxa"/>
            <w:vAlign w:val="center"/>
          </w:tcPr>
          <w:p w14:paraId="6705BECE">
            <w:pPr>
              <w:pStyle w:val="15"/>
              <w:spacing w:before="75"/>
              <w:ind w:left="112"/>
              <w:rPr>
                <w:rFonts w:hint="eastAsia" w:ascii="仿宋" w:hAnsi="仿宋" w:eastAsia="仿宋"/>
                <w:sz w:val="20"/>
              </w:rPr>
            </w:pPr>
            <w:r>
              <w:rPr>
                <w:rFonts w:ascii="仿宋" w:hAnsi="仿宋" w:eastAsia="仿宋"/>
                <w:sz w:val="20"/>
              </w:rPr>
              <w:t>不适用</w:t>
            </w:r>
          </w:p>
        </w:tc>
      </w:tr>
      <w:tr w14:paraId="1CA884C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6" w:hRule="atLeast"/>
        </w:trPr>
        <w:tc>
          <w:tcPr>
            <w:tcW w:w="4601" w:type="dxa"/>
            <w:vAlign w:val="center"/>
          </w:tcPr>
          <w:p w14:paraId="5FE0824E">
            <w:pPr>
              <w:pStyle w:val="15"/>
              <w:spacing w:before="87"/>
              <w:ind w:left="112"/>
              <w:rPr>
                <w:rFonts w:hint="eastAsia" w:ascii="仿宋" w:hAnsi="仿宋" w:eastAsia="仿宋"/>
                <w:sz w:val="20"/>
              </w:rPr>
            </w:pPr>
            <w:r>
              <w:rPr>
                <w:rFonts w:ascii="仿宋" w:hAnsi="仿宋" w:eastAsia="仿宋"/>
                <w:sz w:val="20"/>
              </w:rPr>
              <w:t>募集资金投资项目实施地点变更情况</w:t>
            </w:r>
          </w:p>
        </w:tc>
        <w:tc>
          <w:tcPr>
            <w:tcW w:w="8982" w:type="dxa"/>
            <w:vAlign w:val="center"/>
          </w:tcPr>
          <w:p w14:paraId="42F3C3BA">
            <w:pPr>
              <w:pStyle w:val="15"/>
              <w:spacing w:before="87"/>
              <w:ind w:left="112"/>
              <w:rPr>
                <w:rFonts w:hint="eastAsia" w:ascii="仿宋" w:hAnsi="仿宋" w:eastAsia="仿宋"/>
                <w:sz w:val="20"/>
              </w:rPr>
            </w:pPr>
            <w:r>
              <w:rPr>
                <w:rFonts w:ascii="仿宋" w:hAnsi="仿宋" w:eastAsia="仿宋"/>
                <w:sz w:val="20"/>
              </w:rPr>
              <w:t>不适用</w:t>
            </w:r>
          </w:p>
        </w:tc>
      </w:tr>
      <w:tr w14:paraId="09A0863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8" w:hRule="atLeast"/>
        </w:trPr>
        <w:tc>
          <w:tcPr>
            <w:tcW w:w="4601" w:type="dxa"/>
            <w:vAlign w:val="center"/>
          </w:tcPr>
          <w:p w14:paraId="07FB51DE">
            <w:pPr>
              <w:pStyle w:val="15"/>
              <w:spacing w:before="87"/>
              <w:ind w:left="112"/>
              <w:rPr>
                <w:rFonts w:hint="eastAsia" w:ascii="仿宋" w:hAnsi="仿宋" w:eastAsia="仿宋"/>
                <w:sz w:val="20"/>
              </w:rPr>
            </w:pPr>
            <w:r>
              <w:rPr>
                <w:rFonts w:ascii="仿宋" w:hAnsi="仿宋" w:eastAsia="仿宋"/>
                <w:sz w:val="20"/>
              </w:rPr>
              <w:t>募集资金投资项目实施方式调整情况</w:t>
            </w:r>
          </w:p>
        </w:tc>
        <w:tc>
          <w:tcPr>
            <w:tcW w:w="8982" w:type="dxa"/>
            <w:vAlign w:val="center"/>
          </w:tcPr>
          <w:p w14:paraId="4F805743">
            <w:pPr>
              <w:pStyle w:val="15"/>
              <w:spacing w:before="87"/>
              <w:ind w:left="112"/>
              <w:rPr>
                <w:rFonts w:hint="eastAsia" w:ascii="仿宋" w:hAnsi="仿宋" w:eastAsia="仿宋"/>
                <w:sz w:val="20"/>
              </w:rPr>
            </w:pPr>
            <w:r>
              <w:rPr>
                <w:rFonts w:ascii="仿宋" w:hAnsi="仿宋" w:eastAsia="仿宋"/>
                <w:sz w:val="20"/>
              </w:rPr>
              <w:t>不适用</w:t>
            </w:r>
          </w:p>
        </w:tc>
      </w:tr>
      <w:tr w14:paraId="1A9B1AA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02" w:hRule="atLeast"/>
        </w:trPr>
        <w:tc>
          <w:tcPr>
            <w:tcW w:w="4601" w:type="dxa"/>
            <w:vAlign w:val="center"/>
          </w:tcPr>
          <w:p w14:paraId="6E4A0D39">
            <w:pPr>
              <w:pStyle w:val="15"/>
              <w:ind w:left="112"/>
              <w:rPr>
                <w:rFonts w:hint="eastAsia" w:ascii="仿宋" w:hAnsi="仿宋" w:eastAsia="仿宋"/>
                <w:sz w:val="20"/>
              </w:rPr>
            </w:pPr>
            <w:r>
              <w:rPr>
                <w:rFonts w:ascii="仿宋" w:hAnsi="仿宋" w:eastAsia="仿宋"/>
                <w:sz w:val="20"/>
              </w:rPr>
              <w:t>募集资金投资项目先期投入及置换情况</w:t>
            </w:r>
          </w:p>
        </w:tc>
        <w:tc>
          <w:tcPr>
            <w:tcW w:w="8982" w:type="dxa"/>
            <w:vAlign w:val="center"/>
          </w:tcPr>
          <w:p w14:paraId="29EA3FB7">
            <w:pPr>
              <w:pStyle w:val="15"/>
              <w:spacing w:before="3" w:line="242" w:lineRule="auto"/>
              <w:ind w:left="112" w:right="31"/>
              <w:jc w:val="both"/>
              <w:rPr>
                <w:rFonts w:hint="eastAsia" w:ascii="仿宋" w:hAnsi="仿宋" w:eastAsia="仿宋"/>
                <w:sz w:val="20"/>
              </w:rPr>
            </w:pPr>
            <w:r>
              <w:rPr>
                <w:rFonts w:ascii="仿宋" w:hAnsi="仿宋" w:eastAsia="仿宋"/>
                <w:spacing w:val="6"/>
                <w:sz w:val="20"/>
              </w:rPr>
              <w:t>公司对上述1-7项目，前期预先自筹资金投入额185,231.38万元。公司于2016年12月26日召开第七届董事会第七次会议审议通过了《关于使用募集资金置换预先</w:t>
            </w:r>
            <w:r>
              <w:rPr>
                <w:rFonts w:hint="eastAsia" w:ascii="仿宋" w:hAnsi="仿宋" w:eastAsia="仿宋"/>
                <w:spacing w:val="6"/>
                <w:sz w:val="20"/>
              </w:rPr>
              <w:t>已</w:t>
            </w:r>
            <w:r>
              <w:rPr>
                <w:rFonts w:ascii="仿宋" w:hAnsi="仿宋" w:eastAsia="仿宋"/>
                <w:spacing w:val="6"/>
                <w:sz w:val="20"/>
              </w:rPr>
              <w:t>投入募投项目自筹资金的议案》，同意公司使用募集资金185,230.38万元置换预先已投入募集资金投资项目的自筹资金</w:t>
            </w:r>
            <w:r>
              <w:rPr>
                <w:rFonts w:hint="eastAsia" w:ascii="仿宋" w:hAnsi="仿宋" w:eastAsia="仿宋"/>
                <w:spacing w:val="6"/>
                <w:sz w:val="20"/>
              </w:rPr>
              <w:t>。</w:t>
            </w:r>
          </w:p>
        </w:tc>
      </w:tr>
      <w:tr w14:paraId="73A5B27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30" w:hRule="atLeast"/>
        </w:trPr>
        <w:tc>
          <w:tcPr>
            <w:tcW w:w="4601" w:type="dxa"/>
            <w:vAlign w:val="center"/>
          </w:tcPr>
          <w:p w14:paraId="4B5999CF">
            <w:pPr>
              <w:pStyle w:val="15"/>
              <w:spacing w:before="145"/>
              <w:ind w:left="112"/>
              <w:rPr>
                <w:rFonts w:hint="eastAsia" w:ascii="仿宋" w:hAnsi="仿宋" w:eastAsia="仿宋"/>
                <w:sz w:val="20"/>
              </w:rPr>
            </w:pPr>
            <w:r>
              <w:rPr>
                <w:rFonts w:ascii="仿宋" w:hAnsi="仿宋" w:eastAsia="仿宋"/>
                <w:sz w:val="20"/>
              </w:rPr>
              <w:t>用闲置募集资金暂时补充流动资金情况</w:t>
            </w:r>
          </w:p>
        </w:tc>
        <w:tc>
          <w:tcPr>
            <w:tcW w:w="8982" w:type="dxa"/>
            <w:vAlign w:val="center"/>
          </w:tcPr>
          <w:p w14:paraId="476E75B0">
            <w:pPr>
              <w:pStyle w:val="15"/>
              <w:spacing w:before="9" w:line="238" w:lineRule="exact"/>
              <w:ind w:left="112"/>
              <w:rPr>
                <w:rFonts w:hint="eastAsia" w:ascii="仿宋" w:hAnsi="仿宋" w:eastAsia="仿宋"/>
                <w:spacing w:val="6"/>
                <w:sz w:val="20"/>
              </w:rPr>
            </w:pPr>
            <w:r>
              <w:rPr>
                <w:rFonts w:hint="eastAsia" w:ascii="仿宋" w:hAnsi="仿宋" w:eastAsia="仿宋"/>
                <w:spacing w:val="6"/>
                <w:sz w:val="20"/>
              </w:rPr>
              <w:t>公司于2025年4月25日召开第九届董事会第三十一次会议审议通过了《关于使用闲置募集资金暂时性补充流动资金的议案》，同意使用不超过10,700万元的闲置募集资金暂时补充流动资金，使用期限于本次董事会审议批准之日起不超过12个月。截至2025年6月30日，公司使用10,493.80万元闲置募集资金暂时补充流动资金。</w:t>
            </w:r>
          </w:p>
        </w:tc>
      </w:tr>
      <w:tr w14:paraId="6A4672D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3" w:hRule="atLeast"/>
        </w:trPr>
        <w:tc>
          <w:tcPr>
            <w:tcW w:w="4601" w:type="dxa"/>
            <w:vAlign w:val="center"/>
          </w:tcPr>
          <w:p w14:paraId="36BC2452">
            <w:pPr>
              <w:pStyle w:val="15"/>
              <w:spacing w:before="86"/>
              <w:ind w:left="112"/>
              <w:rPr>
                <w:rFonts w:hint="eastAsia" w:ascii="仿宋" w:hAnsi="仿宋" w:eastAsia="仿宋"/>
                <w:sz w:val="20"/>
              </w:rPr>
            </w:pPr>
            <w:r>
              <w:rPr>
                <w:rFonts w:ascii="仿宋" w:hAnsi="仿宋" w:eastAsia="仿宋"/>
                <w:sz w:val="20"/>
              </w:rPr>
              <w:t>项目实施出现募集资金结余的金额及原因</w:t>
            </w:r>
          </w:p>
        </w:tc>
        <w:tc>
          <w:tcPr>
            <w:tcW w:w="8982" w:type="dxa"/>
            <w:vAlign w:val="center"/>
          </w:tcPr>
          <w:p w14:paraId="6ACA3454">
            <w:pPr>
              <w:pStyle w:val="15"/>
              <w:spacing w:before="86"/>
              <w:ind w:left="112"/>
              <w:rPr>
                <w:rFonts w:hint="eastAsia" w:ascii="仿宋" w:hAnsi="仿宋" w:eastAsia="仿宋"/>
                <w:sz w:val="20"/>
              </w:rPr>
            </w:pPr>
            <w:r>
              <w:rPr>
                <w:rFonts w:hint="eastAsia" w:ascii="仿宋" w:hAnsi="仿宋" w:eastAsia="仿宋"/>
                <w:sz w:val="20"/>
              </w:rPr>
              <w:t>公司于2025年4月25日召开第九届董事会第三十一次会议审议通过了《关于将节余募集资金永久性补充流动资金的议案》，同意使用不超过9,000万元（实际节余资金以永久性补流实施当日募集资金专户余额为准）的节余募集资金永久补充流动资金。截至2025年6月30日，公司使用8,833.60万元节余募集资金永久性补充流动资金。</w:t>
            </w:r>
          </w:p>
        </w:tc>
      </w:tr>
      <w:tr w14:paraId="41554FA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65" w:hRule="atLeast"/>
        </w:trPr>
        <w:tc>
          <w:tcPr>
            <w:tcW w:w="4601" w:type="dxa"/>
            <w:vAlign w:val="center"/>
          </w:tcPr>
          <w:p w14:paraId="2BB0E43F">
            <w:pPr>
              <w:pStyle w:val="15"/>
              <w:ind w:left="112"/>
              <w:rPr>
                <w:rFonts w:hint="eastAsia" w:ascii="仿宋" w:hAnsi="仿宋" w:eastAsia="仿宋"/>
                <w:sz w:val="20"/>
              </w:rPr>
            </w:pPr>
            <w:r>
              <w:rPr>
                <w:rFonts w:ascii="仿宋" w:hAnsi="仿宋" w:eastAsia="仿宋"/>
                <w:sz w:val="20"/>
              </w:rPr>
              <w:t>尚未使用的募集资金用途及去向</w:t>
            </w:r>
          </w:p>
        </w:tc>
        <w:tc>
          <w:tcPr>
            <w:tcW w:w="8982" w:type="dxa"/>
            <w:vAlign w:val="center"/>
          </w:tcPr>
          <w:p w14:paraId="3C311091">
            <w:pPr>
              <w:pStyle w:val="15"/>
              <w:spacing w:line="235" w:lineRule="exact"/>
              <w:rPr>
                <w:rFonts w:hint="eastAsia" w:ascii="仿宋" w:hAnsi="仿宋" w:eastAsia="仿宋"/>
                <w:sz w:val="20"/>
              </w:rPr>
            </w:pPr>
            <w:r>
              <w:rPr>
                <w:rFonts w:hint="eastAsia" w:ascii="仿宋" w:hAnsi="仿宋" w:eastAsia="仿宋"/>
                <w:spacing w:val="6"/>
                <w:sz w:val="20"/>
              </w:rPr>
              <w:t>截至2025年6月30日，尚未使用的募集资金中，10,493.80万元用于暂时补充流动资金，其余用于项目建设。募集资金专户余额合计157.02万元，公司严格按照《募集资金管理办法》对募集资金进行专户管理，尚未使用的募集资金，均存放于银行监管账户。</w:t>
            </w:r>
          </w:p>
        </w:tc>
      </w:tr>
      <w:tr w14:paraId="474C39C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3" w:hRule="atLeast"/>
        </w:trPr>
        <w:tc>
          <w:tcPr>
            <w:tcW w:w="4601" w:type="dxa"/>
          </w:tcPr>
          <w:p w14:paraId="00DED195">
            <w:pPr>
              <w:pStyle w:val="15"/>
              <w:spacing w:before="87"/>
              <w:ind w:left="112"/>
              <w:rPr>
                <w:rFonts w:hint="eastAsia" w:ascii="仿宋" w:hAnsi="仿宋" w:eastAsia="仿宋"/>
                <w:sz w:val="20"/>
              </w:rPr>
            </w:pPr>
            <w:r>
              <w:rPr>
                <w:rFonts w:ascii="仿宋" w:hAnsi="仿宋" w:eastAsia="仿宋"/>
                <w:sz w:val="20"/>
              </w:rPr>
              <w:t>募集资金使用及披露中存在的问题或其他情况</w:t>
            </w:r>
          </w:p>
        </w:tc>
        <w:tc>
          <w:tcPr>
            <w:tcW w:w="8982" w:type="dxa"/>
          </w:tcPr>
          <w:p w14:paraId="7F1AEEE8">
            <w:pPr>
              <w:pStyle w:val="15"/>
              <w:spacing w:before="87"/>
              <w:ind w:left="112"/>
              <w:rPr>
                <w:rFonts w:hint="eastAsia" w:ascii="仿宋" w:hAnsi="仿宋" w:eastAsia="仿宋"/>
                <w:sz w:val="20"/>
              </w:rPr>
            </w:pPr>
            <w:r>
              <w:rPr>
                <w:rFonts w:ascii="仿宋" w:hAnsi="仿宋" w:eastAsia="仿宋"/>
                <w:sz w:val="20"/>
              </w:rPr>
              <w:t>不适用</w:t>
            </w:r>
          </w:p>
        </w:tc>
      </w:tr>
    </w:tbl>
    <w:p w14:paraId="5252A56C">
      <w:pPr>
        <w:pStyle w:val="6"/>
        <w:spacing w:before="7"/>
        <w:ind w:left="0"/>
        <w:rPr>
          <w:rFonts w:hint="eastAsia"/>
        </w:rPr>
      </w:pPr>
    </w:p>
    <w:sectPr>
      <w:pgSz w:w="15840" w:h="12240" w:orient="landscape"/>
      <w:pgMar w:top="1140" w:right="580" w:bottom="820" w:left="1220" w:header="0" w:footer="637"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