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20F46">
      <w:pPr>
        <w:rPr>
          <w:color w:val="FF0000"/>
        </w:rPr>
      </w:pPr>
      <w:r>
        <w:t xml:space="preserve">证券代码：000875         </w:t>
      </w:r>
      <w:r>
        <w:rPr>
          <w:rFonts w:hint="eastAsia"/>
        </w:rPr>
        <w:t xml:space="preserve">  </w:t>
      </w:r>
      <w:r>
        <w:t xml:space="preserve"> 证券简称：吉电股份       </w:t>
      </w:r>
      <w:r>
        <w:rPr>
          <w:rFonts w:hint="eastAsia"/>
        </w:rPr>
        <w:t xml:space="preserve"> </w:t>
      </w:r>
      <w:r>
        <w:t xml:space="preserve">      公告编号：</w:t>
      </w:r>
      <w:r>
        <w:rPr>
          <w:rFonts w:hint="eastAsia"/>
        </w:rPr>
        <w:t>2025-060</w:t>
      </w:r>
    </w:p>
    <w:p w14:paraId="415021FC">
      <w:pPr>
        <w:rPr>
          <w:b/>
          <w:sz w:val="44"/>
          <w:szCs w:val="44"/>
        </w:rPr>
      </w:pPr>
      <w:r>
        <w:rPr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42545</wp:posOffset>
                </wp:positionV>
                <wp:extent cx="5417820" cy="22860"/>
                <wp:effectExtent l="0" t="28575" r="7620" b="40005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y;margin-left:-8.55pt;margin-top:3.35pt;height:1.8pt;width:426.6pt;z-index:251659264;mso-width-relative:page;mso-height-relative:page;" filled="f" stroked="t" coordsize="21600,21600" o:gfxdata="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CdPRHVAAAACAEAAA8AAAAAAAAAAQAgAAAAIgAAAGRycy9kb3ducmV2LnhtbFBLAQIUABQAAAAI&#10;AIdO4kCyZ2bi8AEAAOQDAAAOAAAAAAAAAAEAIAAAACQBAABkcnMvZTJvRG9jLnhtbFBLBQYAAAAA&#10;BgAGAFkBAACGBQAAAAA=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3010F265">
      <w:pPr>
        <w:jc w:val="center"/>
        <w:rPr>
          <w:rFonts w:cs="宋体"/>
          <w:b/>
          <w:sz w:val="44"/>
          <w:szCs w:val="44"/>
        </w:rPr>
      </w:pPr>
      <w:r>
        <w:rPr>
          <w:rFonts w:hint="eastAsia" w:cs="宋体"/>
          <w:b/>
          <w:sz w:val="44"/>
          <w:szCs w:val="44"/>
        </w:rPr>
        <w:t>吉林电力股份有限公司</w:t>
      </w:r>
    </w:p>
    <w:p w14:paraId="14306830">
      <w:pPr>
        <w:jc w:val="center"/>
        <w:rPr>
          <w:b/>
          <w:sz w:val="44"/>
          <w:szCs w:val="44"/>
        </w:rPr>
      </w:pPr>
      <w:r>
        <w:rPr>
          <w:rFonts w:hint="eastAsia" w:cs="宋体"/>
          <w:b/>
          <w:sz w:val="44"/>
          <w:szCs w:val="44"/>
        </w:rPr>
        <w:t>第九届监事会第二十二次会议决议公告</w:t>
      </w:r>
    </w:p>
    <w:p w14:paraId="12071246">
      <w:pPr>
        <w:jc w:val="center"/>
        <w:rPr>
          <w:rFonts w:eastAsia="仿宋_GB2312"/>
          <w:sz w:val="32"/>
          <w:szCs w:val="32"/>
        </w:rPr>
      </w:pPr>
    </w:p>
    <w:p w14:paraId="4757D287">
      <w:pPr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本公司及监事会全体成员保证</w:t>
      </w:r>
      <w:r>
        <w:rPr>
          <w:rFonts w:hint="eastAsia" w:eastAsia="仿宋"/>
          <w:b/>
          <w:sz w:val="28"/>
          <w:szCs w:val="28"/>
        </w:rPr>
        <w:t>信息披露</w:t>
      </w:r>
      <w:r>
        <w:rPr>
          <w:rFonts w:eastAsia="仿宋"/>
          <w:b/>
          <w:sz w:val="28"/>
          <w:szCs w:val="28"/>
        </w:rPr>
        <w:t>内容的真实、准确</w:t>
      </w:r>
      <w:r>
        <w:rPr>
          <w:rFonts w:hint="eastAsia" w:eastAsia="仿宋"/>
          <w:b/>
          <w:sz w:val="28"/>
          <w:szCs w:val="28"/>
        </w:rPr>
        <w:t>和</w:t>
      </w:r>
      <w:r>
        <w:rPr>
          <w:rFonts w:eastAsia="仿宋"/>
          <w:b/>
          <w:sz w:val="28"/>
          <w:szCs w:val="28"/>
        </w:rPr>
        <w:t>完整，没有虚假记载、误导性陈述或重大遗漏。</w:t>
      </w:r>
    </w:p>
    <w:p w14:paraId="2B476396">
      <w:pPr>
        <w:jc w:val="center"/>
        <w:rPr>
          <w:rFonts w:eastAsia="仿宋"/>
          <w:sz w:val="32"/>
          <w:szCs w:val="32"/>
        </w:rPr>
      </w:pPr>
    </w:p>
    <w:p w14:paraId="569DEFBB">
      <w:pPr>
        <w:spacing w:line="58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一、监事会会议召开情况</w:t>
      </w:r>
    </w:p>
    <w:p w14:paraId="5A334B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48" w:firstLineChars="196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1.吉林电力股份有限公司第</w:t>
      </w:r>
      <w:r>
        <w:rPr>
          <w:rFonts w:hint="eastAsia" w:eastAsia="仿宋"/>
          <w:sz w:val="28"/>
          <w:szCs w:val="28"/>
        </w:rPr>
        <w:t>九</w:t>
      </w:r>
      <w:r>
        <w:rPr>
          <w:rFonts w:eastAsia="仿宋"/>
          <w:sz w:val="28"/>
          <w:szCs w:val="28"/>
        </w:rPr>
        <w:t>届监事会第</w:t>
      </w:r>
      <w:r>
        <w:rPr>
          <w:rFonts w:hint="eastAsia" w:eastAsia="仿宋"/>
          <w:sz w:val="28"/>
          <w:szCs w:val="28"/>
        </w:rPr>
        <w:t>二十二</w:t>
      </w:r>
      <w:r>
        <w:rPr>
          <w:rFonts w:eastAsia="仿宋"/>
          <w:sz w:val="28"/>
          <w:szCs w:val="28"/>
        </w:rPr>
        <w:t>次会议通知于</w:t>
      </w:r>
      <w:r>
        <w:rPr>
          <w:rFonts w:hint="eastAsia" w:eastAsia="仿宋"/>
          <w:sz w:val="28"/>
          <w:szCs w:val="28"/>
        </w:rPr>
        <w:t>2025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8</w:t>
      </w:r>
      <w:r>
        <w:rPr>
          <w:rFonts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9</w:t>
      </w:r>
      <w:r>
        <w:rPr>
          <w:rFonts w:eastAsia="仿宋"/>
          <w:sz w:val="28"/>
          <w:szCs w:val="28"/>
        </w:rPr>
        <w:t>日以电子邮件等方式发出。</w:t>
      </w:r>
    </w:p>
    <w:p w14:paraId="1DBA5B29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2. </w:t>
      </w:r>
      <w:r>
        <w:rPr>
          <w:rFonts w:hint="eastAsia" w:eastAsia="仿宋"/>
          <w:sz w:val="28"/>
          <w:szCs w:val="28"/>
        </w:rPr>
        <w:t>2025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8</w:t>
      </w:r>
      <w:r>
        <w:rPr>
          <w:rFonts w:eastAsia="仿宋"/>
          <w:sz w:val="28"/>
          <w:szCs w:val="28"/>
        </w:rPr>
        <w:t>月2</w:t>
      </w:r>
      <w:r>
        <w:rPr>
          <w:rFonts w:hint="eastAsia" w:eastAsia="仿宋"/>
          <w:sz w:val="28"/>
          <w:szCs w:val="28"/>
        </w:rPr>
        <w:t>0</w:t>
      </w:r>
      <w:r>
        <w:rPr>
          <w:rFonts w:eastAsia="仿宋"/>
          <w:sz w:val="28"/>
          <w:szCs w:val="28"/>
        </w:rPr>
        <w:t>日，第</w:t>
      </w:r>
      <w:r>
        <w:rPr>
          <w:rFonts w:hint="eastAsia" w:eastAsia="仿宋"/>
          <w:sz w:val="28"/>
          <w:szCs w:val="28"/>
        </w:rPr>
        <w:t>九</w:t>
      </w:r>
      <w:r>
        <w:rPr>
          <w:rFonts w:eastAsia="仿宋"/>
          <w:sz w:val="28"/>
          <w:szCs w:val="28"/>
        </w:rPr>
        <w:t>届监事会第</w:t>
      </w:r>
      <w:r>
        <w:rPr>
          <w:rFonts w:hint="eastAsia" w:eastAsia="仿宋"/>
          <w:sz w:val="28"/>
          <w:szCs w:val="28"/>
        </w:rPr>
        <w:t>二十二</w:t>
      </w:r>
      <w:r>
        <w:rPr>
          <w:rFonts w:eastAsia="仿宋"/>
          <w:sz w:val="28"/>
          <w:szCs w:val="28"/>
        </w:rPr>
        <w:t>次会议</w:t>
      </w:r>
      <w:r>
        <w:rPr>
          <w:rFonts w:hint="eastAsia" w:eastAsia="仿宋"/>
          <w:sz w:val="28"/>
          <w:szCs w:val="28"/>
        </w:rPr>
        <w:t>在公司</w:t>
      </w:r>
      <w:r>
        <w:rPr>
          <w:rFonts w:eastAsia="仿宋"/>
          <w:sz w:val="28"/>
          <w:szCs w:val="28"/>
        </w:rPr>
        <w:t>会议室以现场会议方式召开。</w:t>
      </w:r>
    </w:p>
    <w:p w14:paraId="3536FA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60" w:firstLineChars="200"/>
        <w:rPr>
          <w:rFonts w:eastAsia="仿宋"/>
          <w:color w:val="000000"/>
          <w:kern w:val="0"/>
          <w:sz w:val="28"/>
          <w:szCs w:val="28"/>
        </w:rPr>
      </w:pPr>
      <w:r>
        <w:rPr>
          <w:rFonts w:eastAsia="仿宋"/>
          <w:sz w:val="28"/>
          <w:szCs w:val="28"/>
          <w:lang w:bidi="ar"/>
        </w:rPr>
        <w:t>3.</w:t>
      </w:r>
      <w:r>
        <w:rPr>
          <w:rFonts w:hint="eastAsia" w:eastAsia="仿宋" w:cs="仿宋"/>
          <w:color w:val="000000"/>
          <w:kern w:val="0"/>
          <w:sz w:val="28"/>
          <w:szCs w:val="28"/>
          <w:lang w:bidi="ar"/>
        </w:rPr>
        <w:t>公司应参会的监事</w:t>
      </w:r>
      <w:r>
        <w:rPr>
          <w:rFonts w:hint="eastAsia" w:eastAsia="仿宋"/>
          <w:color w:val="000000"/>
          <w:kern w:val="0"/>
          <w:sz w:val="28"/>
          <w:szCs w:val="28"/>
          <w:lang w:bidi="ar"/>
        </w:rPr>
        <w:t>5</w:t>
      </w:r>
      <w:r>
        <w:rPr>
          <w:rFonts w:hint="eastAsia" w:eastAsia="仿宋" w:cs="仿宋"/>
          <w:color w:val="000000"/>
          <w:kern w:val="0"/>
          <w:sz w:val="28"/>
          <w:szCs w:val="28"/>
          <w:lang w:bidi="ar"/>
        </w:rPr>
        <w:t>人，实到监事4人。监事刘阳女士因公无法出席，全权委托监事高仪先生代为表决。</w:t>
      </w:r>
    </w:p>
    <w:p w14:paraId="4B4C928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"/>
          <w:color w:val="000000"/>
          <w:kern w:val="0"/>
          <w:sz w:val="28"/>
          <w:szCs w:val="28"/>
        </w:rPr>
        <w:t>4.公司监事会主席胡一栋先生主持本次会议。</w:t>
      </w:r>
    </w:p>
    <w:p w14:paraId="1385807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color w:val="000000"/>
          <w:kern w:val="0"/>
          <w:sz w:val="28"/>
          <w:szCs w:val="28"/>
        </w:rPr>
        <w:t>5.</w:t>
      </w:r>
      <w:r>
        <w:rPr>
          <w:rFonts w:hint="eastAsia" w:eastAsia="仿宋"/>
          <w:color w:val="000000"/>
          <w:kern w:val="0"/>
          <w:sz w:val="28"/>
          <w:szCs w:val="28"/>
        </w:rPr>
        <w:t>本次会议的召开符合《公司法》及公司《章程》的规定。</w:t>
      </w:r>
    </w:p>
    <w:p w14:paraId="4ECF7486">
      <w:pPr>
        <w:spacing w:line="58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二、监事会会议审议情况</w:t>
      </w:r>
    </w:p>
    <w:p w14:paraId="76FE7B03">
      <w:pPr>
        <w:spacing w:line="580" w:lineRule="exact"/>
        <w:ind w:firstLine="562" w:firstLineChars="200"/>
        <w:rPr>
          <w:rFonts w:eastAsia="仿宋" w:cs="仿宋"/>
          <w:b/>
          <w:sz w:val="28"/>
          <w:szCs w:val="28"/>
        </w:rPr>
      </w:pPr>
      <w:r>
        <w:rPr>
          <w:rFonts w:hint="eastAsia" w:eastAsia="仿宋" w:cs="仿宋"/>
          <w:b/>
          <w:sz w:val="28"/>
          <w:szCs w:val="28"/>
        </w:rPr>
        <w:t>（一）</w:t>
      </w:r>
      <w:r>
        <w:rPr>
          <w:rFonts w:hint="eastAsia" w:eastAsia="仿宋"/>
          <w:b/>
          <w:bCs/>
          <w:sz w:val="28"/>
          <w:szCs w:val="28"/>
        </w:rPr>
        <w:t>公司2025年半年度利润分配预案</w:t>
      </w:r>
    </w:p>
    <w:p w14:paraId="40C11554">
      <w:pPr>
        <w:spacing w:line="580" w:lineRule="exact"/>
        <w:ind w:firstLine="560" w:firstLineChars="200"/>
        <w:rPr>
          <w:rFonts w:eastAsia="仿宋" w:cs="仿宋"/>
          <w:bCs/>
          <w:color w:val="000000"/>
          <w:sz w:val="28"/>
          <w:szCs w:val="28"/>
        </w:rPr>
      </w:pPr>
      <w:r>
        <w:rPr>
          <w:rFonts w:eastAsia="仿宋"/>
          <w:sz w:val="28"/>
          <w:szCs w:val="28"/>
        </w:rPr>
        <w:t>会议以5票赞同、0票反对、0票弃权，</w:t>
      </w:r>
      <w:r>
        <w:rPr>
          <w:rFonts w:eastAsia="仿宋"/>
          <w:color w:val="000000"/>
          <w:sz w:val="28"/>
          <w:szCs w:val="28"/>
        </w:rPr>
        <w:t>通过了</w:t>
      </w:r>
      <w:r>
        <w:rPr>
          <w:rFonts w:hint="eastAsia" w:eastAsia="仿宋"/>
          <w:color w:val="000000"/>
          <w:sz w:val="28"/>
          <w:szCs w:val="28"/>
        </w:rPr>
        <w:t>《</w:t>
      </w:r>
      <w:r>
        <w:rPr>
          <w:rFonts w:eastAsia="仿宋"/>
          <w:color w:val="000000"/>
          <w:sz w:val="28"/>
          <w:szCs w:val="28"/>
        </w:rPr>
        <w:t>公司</w:t>
      </w:r>
      <w:r>
        <w:rPr>
          <w:rFonts w:eastAsia="仿宋"/>
          <w:bCs/>
          <w:color w:val="000000"/>
          <w:sz w:val="28"/>
          <w:szCs w:val="28"/>
        </w:rPr>
        <w:t>20</w:t>
      </w:r>
      <w:r>
        <w:rPr>
          <w:rFonts w:hint="eastAsia" w:eastAsia="仿宋"/>
          <w:bCs/>
          <w:color w:val="000000"/>
          <w:sz w:val="28"/>
          <w:szCs w:val="28"/>
        </w:rPr>
        <w:t>25</w:t>
      </w:r>
      <w:r>
        <w:rPr>
          <w:rFonts w:eastAsia="仿宋"/>
          <w:bCs/>
          <w:color w:val="000000"/>
          <w:sz w:val="28"/>
          <w:szCs w:val="28"/>
        </w:rPr>
        <w:t>年</w:t>
      </w:r>
      <w:r>
        <w:rPr>
          <w:rFonts w:hint="eastAsia" w:eastAsia="仿宋"/>
          <w:bCs/>
          <w:color w:val="000000"/>
          <w:sz w:val="28"/>
          <w:szCs w:val="28"/>
        </w:rPr>
        <w:t>半年</w:t>
      </w:r>
      <w:r>
        <w:rPr>
          <w:rFonts w:eastAsia="仿宋"/>
          <w:bCs/>
          <w:color w:val="000000"/>
          <w:sz w:val="28"/>
          <w:szCs w:val="28"/>
        </w:rPr>
        <w:t>度利</w:t>
      </w:r>
      <w:r>
        <w:rPr>
          <w:rFonts w:hint="eastAsia" w:eastAsia="仿宋" w:cs="仿宋"/>
          <w:bCs/>
          <w:color w:val="000000"/>
          <w:sz w:val="28"/>
          <w:szCs w:val="28"/>
        </w:rPr>
        <w:t>润分配预案》。</w:t>
      </w:r>
    </w:p>
    <w:p w14:paraId="57D77C2C">
      <w:pPr>
        <w:spacing w:line="580" w:lineRule="exact"/>
        <w:ind w:firstLine="57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根据202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年半年度财务报告（未经审计），公司2025年1</w:t>
      </w:r>
      <w:r>
        <w:rPr>
          <w:rFonts w:hint="eastAsia" w:eastAsia="仿宋"/>
          <w:sz w:val="28"/>
          <w:szCs w:val="28"/>
        </w:rPr>
        <w:t>—</w:t>
      </w:r>
      <w:r>
        <w:rPr>
          <w:rFonts w:eastAsia="仿宋"/>
          <w:sz w:val="28"/>
          <w:szCs w:val="28"/>
        </w:rPr>
        <w:t>6月合并报表中归属于母公司所有者的净利润为725,517,786.13元，合并口径净利润1,078,290,485.89元，母公司实现净利润234,694,301.97元。截至2025年6月30日，公司合并报表可供分配利润为3,206,691,608.90元，母公司报表可供分配利润为533,508,210.47元。拟以公司现有总股本3,627,270,626股为基数，向全体股东每10股派发现金红利</w:t>
      </w:r>
      <w:r>
        <w:rPr>
          <w:rFonts w:hint="eastAsia" w:eastAsia="仿宋"/>
          <w:sz w:val="28"/>
          <w:szCs w:val="28"/>
        </w:rPr>
        <w:t>0.2</w:t>
      </w:r>
      <w:r>
        <w:rPr>
          <w:rFonts w:eastAsia="仿宋"/>
          <w:sz w:val="28"/>
          <w:szCs w:val="28"/>
        </w:rPr>
        <w:t>元（含税），共计分配现金股利</w:t>
      </w:r>
      <w:r>
        <w:rPr>
          <w:rFonts w:hint="eastAsia" w:eastAsia="仿宋"/>
          <w:sz w:val="28"/>
          <w:szCs w:val="28"/>
        </w:rPr>
        <w:t>72,545,412.52</w:t>
      </w:r>
      <w:bookmarkStart w:id="0" w:name="_GoBack"/>
      <w:bookmarkEnd w:id="0"/>
      <w:r>
        <w:rPr>
          <w:rFonts w:eastAsia="仿宋"/>
          <w:sz w:val="28"/>
          <w:szCs w:val="28"/>
        </w:rPr>
        <w:t>元，占202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年上半年归属于母公司所有者的净利润9.9991%，不送红股，不以资本公积金转增股本。</w:t>
      </w:r>
    </w:p>
    <w:p w14:paraId="53232BA2">
      <w:pPr>
        <w:widowControl/>
        <w:spacing w:line="600" w:lineRule="exact"/>
        <w:ind w:firstLine="560" w:firstLineChars="200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公司监事会认为：董事会提出的 2025年半年度利润分配预案综合考虑了2025年半年度的盈利水平和整体财务状况，兼顾了股东的即期利益和长远利益，体现了公司积极回报股东、与全体股东分享公司成长的经营成果的原则。符合公司现状和当前运作的实际，也符合《公司法》《企业会计准则》《深圳证券交易所上市公司自律监管指引第 1 号——主板上市公司规范运作》公司《章程》等相关规定，不存在损害公司股东尤其是中小股东利益的情形。</w:t>
      </w:r>
    </w:p>
    <w:p w14:paraId="624AB7F1">
      <w:pPr>
        <w:widowControl w:val="0"/>
        <w:spacing w:line="600" w:lineRule="exact"/>
        <w:ind w:firstLine="570" w:firstLineChars="0"/>
        <w:rPr>
          <w:rFonts w:hint="eastAsia" w:eastAsia="仿宋"/>
          <w:sz w:val="28"/>
          <w:szCs w:val="28"/>
          <w:lang w:bidi="ar-SA"/>
        </w:rPr>
      </w:pPr>
      <w:r>
        <w:rPr>
          <w:rFonts w:eastAsia="仿宋"/>
          <w:sz w:val="28"/>
          <w:szCs w:val="28"/>
        </w:rPr>
        <w:t>具体内容详见同日刊载于</w:t>
      </w:r>
      <w:r>
        <w:rPr>
          <w:rFonts w:eastAsia="仿宋"/>
          <w:bCs/>
          <w:sz w:val="28"/>
          <w:szCs w:val="28"/>
        </w:rPr>
        <w:t>《中国证券报》《上海证券报》《证券时报》和巨潮资讯网上的</w:t>
      </w:r>
      <w:r>
        <w:rPr>
          <w:rFonts w:eastAsia="仿宋"/>
          <w:sz w:val="28"/>
          <w:szCs w:val="28"/>
        </w:rPr>
        <w:t>《吉林电力股份有限公司关于202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年半年度利润分配预案的公告》（202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-0</w:t>
      </w:r>
      <w:r>
        <w:rPr>
          <w:rFonts w:hint="eastAsia" w:eastAsia="仿宋"/>
          <w:sz w:val="28"/>
          <w:szCs w:val="28"/>
        </w:rPr>
        <w:t>64</w:t>
      </w:r>
      <w:r>
        <w:rPr>
          <w:rFonts w:eastAsia="仿宋"/>
          <w:sz w:val="28"/>
          <w:szCs w:val="28"/>
        </w:rPr>
        <w:t>）。</w:t>
      </w:r>
    </w:p>
    <w:p w14:paraId="0EF4517E">
      <w:pPr>
        <w:spacing w:line="600" w:lineRule="exact"/>
        <w:ind w:firstLine="570"/>
        <w:rPr>
          <w:rFonts w:eastAsia="仿宋"/>
          <w:b/>
          <w:bCs/>
          <w:sz w:val="28"/>
          <w:szCs w:val="28"/>
        </w:rPr>
      </w:pPr>
      <w:r>
        <w:rPr>
          <w:rFonts w:hint="eastAsia" w:eastAsia="仿宋"/>
          <w:b/>
          <w:bCs/>
          <w:sz w:val="28"/>
          <w:szCs w:val="28"/>
        </w:rPr>
        <w:t>（二）</w:t>
      </w:r>
      <w:r>
        <w:rPr>
          <w:rFonts w:eastAsia="仿宋"/>
          <w:b/>
          <w:bCs/>
          <w:sz w:val="28"/>
          <w:szCs w:val="28"/>
        </w:rPr>
        <w:t>公司202</w:t>
      </w:r>
      <w:r>
        <w:rPr>
          <w:rFonts w:hint="eastAsia" w:eastAsia="仿宋"/>
          <w:b/>
          <w:bCs/>
          <w:sz w:val="28"/>
          <w:szCs w:val="28"/>
        </w:rPr>
        <w:t>5</w:t>
      </w:r>
      <w:r>
        <w:rPr>
          <w:rFonts w:eastAsia="仿宋"/>
          <w:b/>
          <w:bCs/>
          <w:sz w:val="28"/>
          <w:szCs w:val="28"/>
        </w:rPr>
        <w:t>年</w:t>
      </w:r>
      <w:r>
        <w:rPr>
          <w:rFonts w:hint="eastAsia" w:eastAsia="仿宋"/>
          <w:b/>
          <w:bCs/>
          <w:sz w:val="28"/>
          <w:szCs w:val="28"/>
        </w:rPr>
        <w:t>半</w:t>
      </w:r>
      <w:r>
        <w:rPr>
          <w:rFonts w:eastAsia="仿宋"/>
          <w:b/>
          <w:bCs/>
          <w:sz w:val="28"/>
          <w:szCs w:val="28"/>
        </w:rPr>
        <w:t>年度报告及摘要</w:t>
      </w:r>
    </w:p>
    <w:p w14:paraId="51579274">
      <w:pPr>
        <w:spacing w:line="600" w:lineRule="exact"/>
        <w:ind w:firstLine="570"/>
        <w:rPr>
          <w:rFonts w:eastAsia="仿宋"/>
          <w:bCs/>
          <w:sz w:val="28"/>
          <w:szCs w:val="28"/>
        </w:rPr>
      </w:pPr>
      <w:r>
        <w:rPr>
          <w:rFonts w:eastAsia="仿宋"/>
          <w:sz w:val="28"/>
          <w:szCs w:val="28"/>
        </w:rPr>
        <w:t>会议以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票赞同、0票反对、0票弃权，通过了《公司202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半</w:t>
      </w:r>
      <w:r>
        <w:rPr>
          <w:rFonts w:eastAsia="仿宋"/>
          <w:sz w:val="28"/>
          <w:szCs w:val="28"/>
        </w:rPr>
        <w:t>年度报告及摘要》。</w:t>
      </w:r>
    </w:p>
    <w:p w14:paraId="0F769017">
      <w:pPr>
        <w:spacing w:line="580" w:lineRule="exact"/>
        <w:ind w:firstLine="570"/>
        <w:rPr>
          <w:rFonts w:eastAsia="仿宋"/>
          <w:bCs/>
          <w:color w:val="000000"/>
          <w:sz w:val="28"/>
          <w:szCs w:val="28"/>
        </w:rPr>
      </w:pPr>
      <w:r>
        <w:rPr>
          <w:rFonts w:hint="eastAsia" w:eastAsia="仿宋" w:cs="仿宋"/>
          <w:bCs/>
          <w:color w:val="000000"/>
          <w:sz w:val="28"/>
          <w:szCs w:val="28"/>
        </w:rPr>
        <w:t>经审核，监事会认为董事会编制和审议公司</w:t>
      </w:r>
      <w:r>
        <w:rPr>
          <w:rFonts w:eastAsia="仿宋"/>
          <w:color w:val="000000"/>
          <w:sz w:val="28"/>
          <w:szCs w:val="28"/>
        </w:rPr>
        <w:t>20</w:t>
      </w:r>
      <w:r>
        <w:rPr>
          <w:rFonts w:hint="eastAsia" w:eastAsia="仿宋"/>
          <w:color w:val="000000"/>
          <w:sz w:val="28"/>
          <w:szCs w:val="28"/>
        </w:rPr>
        <w:t>25</w:t>
      </w:r>
      <w:r>
        <w:rPr>
          <w:rFonts w:hint="eastAsia" w:eastAsia="仿宋" w:cs="仿宋"/>
          <w:bCs/>
          <w:color w:val="000000"/>
          <w:sz w:val="28"/>
          <w:szCs w:val="28"/>
        </w:rPr>
        <w:t>年半年度报告的程序符合法律、行政法规及中国证监会的规定，报告内容真实、准确、</w:t>
      </w:r>
      <w:r>
        <w:rPr>
          <w:rFonts w:hint="eastAsia" w:eastAsia="仿宋"/>
          <w:bCs/>
          <w:color w:val="000000"/>
          <w:sz w:val="28"/>
          <w:szCs w:val="28"/>
        </w:rPr>
        <w:t>完整地反映了上市公司的实际情况，不存在虚假记载、误导性陈述或者重大遗漏。</w:t>
      </w:r>
    </w:p>
    <w:p w14:paraId="2126F043">
      <w:pPr>
        <w:spacing w:line="580" w:lineRule="exact"/>
        <w:ind w:firstLine="570"/>
        <w:rPr>
          <w:rFonts w:eastAsia="仿宋"/>
          <w:sz w:val="28"/>
          <w:szCs w:val="28"/>
        </w:rPr>
      </w:pPr>
      <w:r>
        <w:rPr>
          <w:rFonts w:eastAsia="仿宋"/>
          <w:bCs/>
          <w:sz w:val="28"/>
          <w:szCs w:val="28"/>
        </w:rPr>
        <w:t>具体内容详见同日刊载于巨潮资讯网上的《吉林电力股份有限公司202</w:t>
      </w:r>
      <w:r>
        <w:rPr>
          <w:rFonts w:hint="eastAsia" w:eastAsia="仿宋"/>
          <w:bCs/>
          <w:sz w:val="28"/>
          <w:szCs w:val="28"/>
        </w:rPr>
        <w:t>5</w:t>
      </w:r>
      <w:r>
        <w:rPr>
          <w:rFonts w:eastAsia="仿宋"/>
          <w:bCs/>
          <w:sz w:val="28"/>
          <w:szCs w:val="28"/>
        </w:rPr>
        <w:t>年</w:t>
      </w:r>
      <w:r>
        <w:rPr>
          <w:rFonts w:hint="eastAsia" w:eastAsia="仿宋"/>
          <w:bCs/>
          <w:sz w:val="28"/>
          <w:szCs w:val="28"/>
        </w:rPr>
        <w:t>半</w:t>
      </w:r>
      <w:r>
        <w:rPr>
          <w:rFonts w:eastAsia="仿宋"/>
          <w:bCs/>
          <w:sz w:val="28"/>
          <w:szCs w:val="28"/>
        </w:rPr>
        <w:t>年度报告》（202</w:t>
      </w:r>
      <w:r>
        <w:rPr>
          <w:rFonts w:hint="eastAsia" w:eastAsia="仿宋"/>
          <w:bCs/>
          <w:sz w:val="28"/>
          <w:szCs w:val="28"/>
        </w:rPr>
        <w:t>5</w:t>
      </w:r>
      <w:r>
        <w:rPr>
          <w:rFonts w:eastAsia="仿宋"/>
          <w:bCs/>
          <w:sz w:val="28"/>
          <w:szCs w:val="28"/>
        </w:rPr>
        <w:t>-0</w:t>
      </w:r>
      <w:r>
        <w:rPr>
          <w:rFonts w:hint="eastAsia" w:eastAsia="仿宋"/>
          <w:bCs/>
          <w:sz w:val="28"/>
          <w:szCs w:val="28"/>
        </w:rPr>
        <w:t>61</w:t>
      </w:r>
      <w:r>
        <w:rPr>
          <w:rFonts w:eastAsia="仿宋"/>
          <w:bCs/>
          <w:sz w:val="28"/>
          <w:szCs w:val="28"/>
        </w:rPr>
        <w:t>）和刊载于《中国证券报》《上海证券报》《证券时报》和巨潮资讯网上的《吉林电力股份有限公司202</w:t>
      </w:r>
      <w:r>
        <w:rPr>
          <w:rFonts w:hint="eastAsia" w:eastAsia="仿宋"/>
          <w:bCs/>
          <w:sz w:val="28"/>
          <w:szCs w:val="28"/>
        </w:rPr>
        <w:t>5</w:t>
      </w:r>
      <w:r>
        <w:rPr>
          <w:rFonts w:eastAsia="仿宋"/>
          <w:bCs/>
          <w:sz w:val="28"/>
          <w:szCs w:val="28"/>
        </w:rPr>
        <w:t>年</w:t>
      </w:r>
      <w:r>
        <w:rPr>
          <w:rFonts w:hint="eastAsia" w:eastAsia="仿宋"/>
          <w:bCs/>
          <w:sz w:val="28"/>
          <w:szCs w:val="28"/>
        </w:rPr>
        <w:t>半</w:t>
      </w:r>
      <w:r>
        <w:rPr>
          <w:rFonts w:eastAsia="仿宋"/>
          <w:bCs/>
          <w:sz w:val="28"/>
          <w:szCs w:val="28"/>
        </w:rPr>
        <w:t>年度报告摘要》（202</w:t>
      </w:r>
      <w:r>
        <w:rPr>
          <w:rFonts w:hint="eastAsia" w:eastAsia="仿宋"/>
          <w:bCs/>
          <w:sz w:val="28"/>
          <w:szCs w:val="28"/>
        </w:rPr>
        <w:t>5</w:t>
      </w:r>
      <w:r>
        <w:rPr>
          <w:rFonts w:eastAsia="仿宋"/>
          <w:bCs/>
          <w:sz w:val="28"/>
          <w:szCs w:val="28"/>
        </w:rPr>
        <w:t>-0</w:t>
      </w:r>
      <w:r>
        <w:rPr>
          <w:rFonts w:hint="eastAsia" w:eastAsia="仿宋"/>
          <w:bCs/>
          <w:sz w:val="28"/>
          <w:szCs w:val="28"/>
        </w:rPr>
        <w:t>62</w:t>
      </w:r>
      <w:r>
        <w:rPr>
          <w:rFonts w:eastAsia="仿宋"/>
          <w:bCs/>
          <w:sz w:val="28"/>
          <w:szCs w:val="28"/>
        </w:rPr>
        <w:t>）。</w:t>
      </w:r>
    </w:p>
    <w:p w14:paraId="4BD73F0D">
      <w:pPr>
        <w:spacing w:line="58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（</w:t>
      </w:r>
      <w:r>
        <w:rPr>
          <w:rFonts w:hint="eastAsia" w:eastAsia="仿宋"/>
          <w:b/>
          <w:sz w:val="28"/>
          <w:szCs w:val="28"/>
        </w:rPr>
        <w:t>三</w:t>
      </w:r>
      <w:r>
        <w:rPr>
          <w:rFonts w:eastAsia="仿宋"/>
          <w:b/>
          <w:sz w:val="28"/>
          <w:szCs w:val="28"/>
        </w:rPr>
        <w:t>）</w:t>
      </w:r>
      <w:r>
        <w:rPr>
          <w:rFonts w:hint="eastAsia" w:eastAsia="仿宋"/>
          <w:b/>
          <w:sz w:val="28"/>
          <w:szCs w:val="28"/>
        </w:rPr>
        <w:t>国家电</w:t>
      </w:r>
      <w:r>
        <w:rPr>
          <w:rFonts w:eastAsia="仿宋"/>
          <w:b/>
          <w:sz w:val="28"/>
          <w:szCs w:val="28"/>
        </w:rPr>
        <w:t>投</w:t>
      </w:r>
      <w:r>
        <w:rPr>
          <w:rFonts w:hint="eastAsia" w:eastAsia="仿宋"/>
          <w:b/>
          <w:sz w:val="28"/>
          <w:szCs w:val="28"/>
        </w:rPr>
        <w:t>集团</w:t>
      </w:r>
      <w:r>
        <w:rPr>
          <w:rFonts w:eastAsia="仿宋"/>
          <w:b/>
          <w:sz w:val="28"/>
          <w:szCs w:val="28"/>
        </w:rPr>
        <w:t>财务有限公司风险评估报告</w:t>
      </w:r>
    </w:p>
    <w:p w14:paraId="671B465D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会议以5票赞同、0票反对、0票弃权，审议通过了《国家电投</w:t>
      </w:r>
      <w:r>
        <w:rPr>
          <w:rFonts w:hint="eastAsia" w:eastAsia="仿宋"/>
          <w:sz w:val="28"/>
          <w:szCs w:val="28"/>
        </w:rPr>
        <w:t>集团</w:t>
      </w:r>
      <w:r>
        <w:rPr>
          <w:rFonts w:eastAsia="仿宋"/>
          <w:sz w:val="28"/>
          <w:szCs w:val="28"/>
        </w:rPr>
        <w:t>财务有限公司风险评估报告》。</w:t>
      </w:r>
    </w:p>
    <w:p w14:paraId="13B503E9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监事会认为：公司董事会在审议此议案时，关联董事</w:t>
      </w:r>
      <w:r>
        <w:rPr>
          <w:rFonts w:hint="eastAsia" w:eastAsia="仿宋"/>
          <w:sz w:val="28"/>
          <w:szCs w:val="28"/>
        </w:rPr>
        <w:t>胡建东先生和吕必波先生</w:t>
      </w:r>
      <w:r>
        <w:rPr>
          <w:rFonts w:eastAsia="仿宋"/>
          <w:sz w:val="28"/>
          <w:szCs w:val="28"/>
        </w:rPr>
        <w:t>履行了回避表决</w:t>
      </w:r>
      <w:r>
        <w:rPr>
          <w:rFonts w:hint="eastAsia" w:eastAsia="仿宋"/>
          <w:sz w:val="28"/>
          <w:szCs w:val="28"/>
        </w:rPr>
        <w:t>的义务</w:t>
      </w:r>
      <w:r>
        <w:rPr>
          <w:rFonts w:eastAsia="仿宋"/>
          <w:sz w:val="28"/>
          <w:szCs w:val="28"/>
        </w:rPr>
        <w:t>，董事会审议程序符合相关规定，</w:t>
      </w:r>
      <w:r>
        <w:rPr>
          <w:rFonts w:hint="eastAsia" w:eastAsia="仿宋"/>
          <w:sz w:val="28"/>
          <w:szCs w:val="28"/>
        </w:rPr>
        <w:t>该事项已经独立董事专门会议审议通过，并已取得独立董事专门会议审查意见。</w:t>
      </w:r>
    </w:p>
    <w:p w14:paraId="040A9751">
      <w:pPr>
        <w:spacing w:line="580" w:lineRule="exact"/>
        <w:ind w:firstLine="570"/>
        <w:rPr>
          <w:rFonts w:eastAsia="仿宋"/>
          <w:b/>
          <w:sz w:val="28"/>
          <w:szCs w:val="28"/>
        </w:rPr>
      </w:pPr>
      <w:r>
        <w:rPr>
          <w:rFonts w:hint="eastAsia" w:eastAsia="仿宋"/>
          <w:bCs/>
          <w:sz w:val="28"/>
          <w:szCs w:val="28"/>
        </w:rPr>
        <w:t>具体内容详见同日刊载于巨潮资讯网上的《国家电投集团财务有限公司风险评估报告》。</w:t>
      </w:r>
    </w:p>
    <w:p w14:paraId="1C6751CD">
      <w:pPr>
        <w:spacing w:line="58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三、备查文件</w:t>
      </w:r>
    </w:p>
    <w:p w14:paraId="5BC24666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经与会监事签字并加盖监事会印章的监事会决议。</w:t>
      </w:r>
    </w:p>
    <w:p w14:paraId="192158B7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</w:p>
    <w:p w14:paraId="1918FDE6">
      <w:pPr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特此公告。</w:t>
      </w:r>
    </w:p>
    <w:p w14:paraId="233B1852">
      <w:pPr>
        <w:spacing w:line="580" w:lineRule="exact"/>
        <w:ind w:firstLine="4620" w:firstLineChars="1650"/>
        <w:rPr>
          <w:rFonts w:eastAsia="仿宋"/>
          <w:sz w:val="28"/>
          <w:szCs w:val="28"/>
        </w:rPr>
      </w:pPr>
    </w:p>
    <w:p w14:paraId="3476E39D">
      <w:pPr>
        <w:spacing w:line="580" w:lineRule="exact"/>
        <w:ind w:firstLine="4620" w:firstLineChars="165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吉</w:t>
      </w:r>
      <w:r>
        <w:rPr>
          <w:rFonts w:eastAsia="仿宋"/>
          <w:sz w:val="28"/>
          <w:szCs w:val="28"/>
        </w:rPr>
        <w:t>林电力股份有限公司监事会</w:t>
      </w:r>
    </w:p>
    <w:p w14:paraId="3E99F1A7">
      <w:pPr>
        <w:tabs>
          <w:tab w:val="left" w:pos="2805"/>
          <w:tab w:val="right" w:pos="8026"/>
        </w:tabs>
        <w:spacing w:line="580" w:lineRule="exact"/>
        <w:jc w:val="left"/>
      </w:pPr>
      <w:r>
        <w:rPr>
          <w:rFonts w:eastAsia="仿宋"/>
          <w:sz w:val="28"/>
          <w:szCs w:val="28"/>
        </w:rPr>
        <w:tab/>
      </w:r>
      <w:r>
        <w:rPr>
          <w:rFonts w:eastAsia="仿宋"/>
          <w:sz w:val="28"/>
          <w:szCs w:val="28"/>
        </w:rPr>
        <w:tab/>
      </w:r>
      <w:r>
        <w:rPr>
          <w:rFonts w:hint="eastAsia" w:eastAsia="仿宋"/>
          <w:sz w:val="28"/>
          <w:szCs w:val="28"/>
          <w:lang w:eastAsia="zh-CN"/>
        </w:rPr>
        <w:t>二〇二五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>八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>二十</w:t>
      </w:r>
      <w:r>
        <w:rPr>
          <w:rFonts w:ascii="仿宋" w:hAnsi="仿宋" w:eastAsia="仿宋"/>
          <w:sz w:val="28"/>
          <w:szCs w:val="28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49F45"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8</w:t>
    </w:r>
    <w:r>
      <w:fldChar w:fldCharType="end"/>
    </w:r>
  </w:p>
  <w:p w14:paraId="70B84D07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8881B"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 w14:paraId="0A808F14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01AD99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ZDUxMmU3NmEwMTE5M2Q5ZTg0MGVmOGY5OWRhMDQifQ=="/>
  </w:docVars>
  <w:rsids>
    <w:rsidRoot w:val="00172A27"/>
    <w:rsid w:val="00020CDB"/>
    <w:rsid w:val="00035452"/>
    <w:rsid w:val="00035F6F"/>
    <w:rsid w:val="00063A8D"/>
    <w:rsid w:val="000A3C4A"/>
    <w:rsid w:val="000B5D56"/>
    <w:rsid w:val="000C5011"/>
    <w:rsid w:val="000E6514"/>
    <w:rsid w:val="000F734A"/>
    <w:rsid w:val="00134B4B"/>
    <w:rsid w:val="00157C41"/>
    <w:rsid w:val="00172A27"/>
    <w:rsid w:val="001A7862"/>
    <w:rsid w:val="0020467F"/>
    <w:rsid w:val="00223111"/>
    <w:rsid w:val="00254885"/>
    <w:rsid w:val="0027644C"/>
    <w:rsid w:val="00294C77"/>
    <w:rsid w:val="002959AD"/>
    <w:rsid w:val="00296099"/>
    <w:rsid w:val="002E0B33"/>
    <w:rsid w:val="003272C8"/>
    <w:rsid w:val="0037231A"/>
    <w:rsid w:val="00417154"/>
    <w:rsid w:val="00435FF7"/>
    <w:rsid w:val="00442FF0"/>
    <w:rsid w:val="004474AC"/>
    <w:rsid w:val="00482ACC"/>
    <w:rsid w:val="004A1979"/>
    <w:rsid w:val="004C0534"/>
    <w:rsid w:val="004E2C25"/>
    <w:rsid w:val="005522CD"/>
    <w:rsid w:val="005B5D55"/>
    <w:rsid w:val="005D77D5"/>
    <w:rsid w:val="005D7A2B"/>
    <w:rsid w:val="005E058B"/>
    <w:rsid w:val="005E6B27"/>
    <w:rsid w:val="005F2F6B"/>
    <w:rsid w:val="00600112"/>
    <w:rsid w:val="0061266F"/>
    <w:rsid w:val="00630AA6"/>
    <w:rsid w:val="006975D6"/>
    <w:rsid w:val="006E047C"/>
    <w:rsid w:val="00773A4B"/>
    <w:rsid w:val="0078109F"/>
    <w:rsid w:val="00782370"/>
    <w:rsid w:val="00786090"/>
    <w:rsid w:val="007A45D4"/>
    <w:rsid w:val="007D1C7B"/>
    <w:rsid w:val="007F501E"/>
    <w:rsid w:val="00806C3C"/>
    <w:rsid w:val="00806E60"/>
    <w:rsid w:val="00821C03"/>
    <w:rsid w:val="00850FCA"/>
    <w:rsid w:val="008B4D38"/>
    <w:rsid w:val="008C7CDA"/>
    <w:rsid w:val="00927840"/>
    <w:rsid w:val="00961D15"/>
    <w:rsid w:val="00965EFA"/>
    <w:rsid w:val="0097169A"/>
    <w:rsid w:val="009902D5"/>
    <w:rsid w:val="00991474"/>
    <w:rsid w:val="009B2060"/>
    <w:rsid w:val="00A16278"/>
    <w:rsid w:val="00A32597"/>
    <w:rsid w:val="00A41462"/>
    <w:rsid w:val="00AA3F7F"/>
    <w:rsid w:val="00AB1C6E"/>
    <w:rsid w:val="00AB699D"/>
    <w:rsid w:val="00AE69E0"/>
    <w:rsid w:val="00AF351C"/>
    <w:rsid w:val="00B128BC"/>
    <w:rsid w:val="00B336D5"/>
    <w:rsid w:val="00BE5F88"/>
    <w:rsid w:val="00BF1DFD"/>
    <w:rsid w:val="00BF4EDD"/>
    <w:rsid w:val="00C029BA"/>
    <w:rsid w:val="00C4476B"/>
    <w:rsid w:val="00C61CAA"/>
    <w:rsid w:val="00CA2548"/>
    <w:rsid w:val="00CF57DB"/>
    <w:rsid w:val="00D00DAA"/>
    <w:rsid w:val="00D07125"/>
    <w:rsid w:val="00D259B3"/>
    <w:rsid w:val="00D5642A"/>
    <w:rsid w:val="00D61B0A"/>
    <w:rsid w:val="00D8439F"/>
    <w:rsid w:val="00D87228"/>
    <w:rsid w:val="00DB3451"/>
    <w:rsid w:val="00DC4BE3"/>
    <w:rsid w:val="00DE7FE5"/>
    <w:rsid w:val="00DF2967"/>
    <w:rsid w:val="00E06F72"/>
    <w:rsid w:val="00E322E8"/>
    <w:rsid w:val="00E434F4"/>
    <w:rsid w:val="00E51480"/>
    <w:rsid w:val="00E867D9"/>
    <w:rsid w:val="00E87057"/>
    <w:rsid w:val="00E968B0"/>
    <w:rsid w:val="00EC38C2"/>
    <w:rsid w:val="00F04D26"/>
    <w:rsid w:val="00F210DE"/>
    <w:rsid w:val="00F34F1E"/>
    <w:rsid w:val="00F41469"/>
    <w:rsid w:val="00F83A50"/>
    <w:rsid w:val="00FA6957"/>
    <w:rsid w:val="00FC7CDD"/>
    <w:rsid w:val="00FD4924"/>
    <w:rsid w:val="01411C55"/>
    <w:rsid w:val="01641BAD"/>
    <w:rsid w:val="01FA3894"/>
    <w:rsid w:val="021031F5"/>
    <w:rsid w:val="02A640DC"/>
    <w:rsid w:val="02C86246"/>
    <w:rsid w:val="038518D3"/>
    <w:rsid w:val="046A4330"/>
    <w:rsid w:val="05211E97"/>
    <w:rsid w:val="068F49C9"/>
    <w:rsid w:val="06A92ED4"/>
    <w:rsid w:val="06CE0E6C"/>
    <w:rsid w:val="06E41591"/>
    <w:rsid w:val="08555D85"/>
    <w:rsid w:val="099B5FE8"/>
    <w:rsid w:val="0A7720BF"/>
    <w:rsid w:val="0AA552A8"/>
    <w:rsid w:val="0B240DD3"/>
    <w:rsid w:val="0B2B47BA"/>
    <w:rsid w:val="0C3D3ECB"/>
    <w:rsid w:val="0CC637E7"/>
    <w:rsid w:val="0E74495A"/>
    <w:rsid w:val="0F2E4A1B"/>
    <w:rsid w:val="102E0EE3"/>
    <w:rsid w:val="11374CBB"/>
    <w:rsid w:val="118442A0"/>
    <w:rsid w:val="11B42A29"/>
    <w:rsid w:val="12216C8B"/>
    <w:rsid w:val="134157C5"/>
    <w:rsid w:val="1382001C"/>
    <w:rsid w:val="1459096F"/>
    <w:rsid w:val="14B36996"/>
    <w:rsid w:val="14EF0946"/>
    <w:rsid w:val="15CD06E5"/>
    <w:rsid w:val="16AC5819"/>
    <w:rsid w:val="177210F4"/>
    <w:rsid w:val="18A968D2"/>
    <w:rsid w:val="18B7393A"/>
    <w:rsid w:val="19BE287C"/>
    <w:rsid w:val="1A455668"/>
    <w:rsid w:val="1A5D4535"/>
    <w:rsid w:val="1AC739FE"/>
    <w:rsid w:val="1B667887"/>
    <w:rsid w:val="1B6B44F8"/>
    <w:rsid w:val="1BF04D1A"/>
    <w:rsid w:val="1C252EBD"/>
    <w:rsid w:val="1E452750"/>
    <w:rsid w:val="1EE61282"/>
    <w:rsid w:val="202538B8"/>
    <w:rsid w:val="203715BC"/>
    <w:rsid w:val="204732C0"/>
    <w:rsid w:val="204F7A20"/>
    <w:rsid w:val="21163EFB"/>
    <w:rsid w:val="212A32FB"/>
    <w:rsid w:val="214E2A87"/>
    <w:rsid w:val="2237084A"/>
    <w:rsid w:val="224D4BEA"/>
    <w:rsid w:val="237C6B75"/>
    <w:rsid w:val="238B4FEE"/>
    <w:rsid w:val="242A142B"/>
    <w:rsid w:val="25354C69"/>
    <w:rsid w:val="25691BA9"/>
    <w:rsid w:val="297D4844"/>
    <w:rsid w:val="2AA50633"/>
    <w:rsid w:val="2BD77A9C"/>
    <w:rsid w:val="2BDC46D9"/>
    <w:rsid w:val="2C782F45"/>
    <w:rsid w:val="2CF22EAC"/>
    <w:rsid w:val="2D0A4A3C"/>
    <w:rsid w:val="2E8A291D"/>
    <w:rsid w:val="2F3D3C48"/>
    <w:rsid w:val="30C71216"/>
    <w:rsid w:val="31F07F7E"/>
    <w:rsid w:val="321A50E9"/>
    <w:rsid w:val="324418FE"/>
    <w:rsid w:val="32E35645"/>
    <w:rsid w:val="32E6467A"/>
    <w:rsid w:val="33AF3B80"/>
    <w:rsid w:val="35323A39"/>
    <w:rsid w:val="35593B67"/>
    <w:rsid w:val="36051918"/>
    <w:rsid w:val="367029AB"/>
    <w:rsid w:val="374D117B"/>
    <w:rsid w:val="3819561D"/>
    <w:rsid w:val="392C2955"/>
    <w:rsid w:val="392D28C0"/>
    <w:rsid w:val="393F36E0"/>
    <w:rsid w:val="3B4C42D5"/>
    <w:rsid w:val="3B5408C7"/>
    <w:rsid w:val="3C5477BA"/>
    <w:rsid w:val="3CA345A8"/>
    <w:rsid w:val="3CCC7276"/>
    <w:rsid w:val="3D062DA2"/>
    <w:rsid w:val="3FFF13BC"/>
    <w:rsid w:val="40643C9B"/>
    <w:rsid w:val="410E5E66"/>
    <w:rsid w:val="41106103"/>
    <w:rsid w:val="416E0A97"/>
    <w:rsid w:val="41CC7876"/>
    <w:rsid w:val="4335330B"/>
    <w:rsid w:val="44A71F58"/>
    <w:rsid w:val="44BA1716"/>
    <w:rsid w:val="44F72DC6"/>
    <w:rsid w:val="45230373"/>
    <w:rsid w:val="45C86AD0"/>
    <w:rsid w:val="45F50E0B"/>
    <w:rsid w:val="46055158"/>
    <w:rsid w:val="470B543D"/>
    <w:rsid w:val="48E65FE3"/>
    <w:rsid w:val="49713CD0"/>
    <w:rsid w:val="4A2A6880"/>
    <w:rsid w:val="4B732DBE"/>
    <w:rsid w:val="4B8975BB"/>
    <w:rsid w:val="4BEB7797"/>
    <w:rsid w:val="4C0F742A"/>
    <w:rsid w:val="4C3C5E71"/>
    <w:rsid w:val="4D827663"/>
    <w:rsid w:val="4E000611"/>
    <w:rsid w:val="4EF96157"/>
    <w:rsid w:val="4F59499F"/>
    <w:rsid w:val="4F9206E2"/>
    <w:rsid w:val="50E84C2F"/>
    <w:rsid w:val="51712E01"/>
    <w:rsid w:val="526818ED"/>
    <w:rsid w:val="531C4FC6"/>
    <w:rsid w:val="54361EF4"/>
    <w:rsid w:val="54B24362"/>
    <w:rsid w:val="56805C4A"/>
    <w:rsid w:val="56A143BE"/>
    <w:rsid w:val="56E25ADD"/>
    <w:rsid w:val="56EA27CC"/>
    <w:rsid w:val="56F53F18"/>
    <w:rsid w:val="574654A4"/>
    <w:rsid w:val="575C141E"/>
    <w:rsid w:val="57981DA5"/>
    <w:rsid w:val="57E312B1"/>
    <w:rsid w:val="58F728F9"/>
    <w:rsid w:val="595D4310"/>
    <w:rsid w:val="5B304657"/>
    <w:rsid w:val="5B9F4593"/>
    <w:rsid w:val="5BCE4964"/>
    <w:rsid w:val="5C2C3C45"/>
    <w:rsid w:val="5D3959F1"/>
    <w:rsid w:val="5D573A29"/>
    <w:rsid w:val="5EE254AC"/>
    <w:rsid w:val="5F1C2907"/>
    <w:rsid w:val="60551C0A"/>
    <w:rsid w:val="610E7C49"/>
    <w:rsid w:val="6170257C"/>
    <w:rsid w:val="61EB3135"/>
    <w:rsid w:val="61ED03A7"/>
    <w:rsid w:val="61F54646"/>
    <w:rsid w:val="628400E5"/>
    <w:rsid w:val="62C84DA7"/>
    <w:rsid w:val="64566206"/>
    <w:rsid w:val="64B3073A"/>
    <w:rsid w:val="65446AAE"/>
    <w:rsid w:val="65C57704"/>
    <w:rsid w:val="6651212F"/>
    <w:rsid w:val="675225E6"/>
    <w:rsid w:val="67C779FD"/>
    <w:rsid w:val="67C970B8"/>
    <w:rsid w:val="698C7DE8"/>
    <w:rsid w:val="6A6B4FBD"/>
    <w:rsid w:val="6CE13DC4"/>
    <w:rsid w:val="6D8E6FF3"/>
    <w:rsid w:val="6DEA0030"/>
    <w:rsid w:val="6F9E54E7"/>
    <w:rsid w:val="6FBC418C"/>
    <w:rsid w:val="6FCE2EB1"/>
    <w:rsid w:val="70221B36"/>
    <w:rsid w:val="703B260F"/>
    <w:rsid w:val="711041C2"/>
    <w:rsid w:val="727E688C"/>
    <w:rsid w:val="73251469"/>
    <w:rsid w:val="73DF75FB"/>
    <w:rsid w:val="7794227D"/>
    <w:rsid w:val="77E777A4"/>
    <w:rsid w:val="78B55F55"/>
    <w:rsid w:val="792D044F"/>
    <w:rsid w:val="79C012FF"/>
    <w:rsid w:val="7A0C0D93"/>
    <w:rsid w:val="7A93429D"/>
    <w:rsid w:val="7ACA6A42"/>
    <w:rsid w:val="7B472CC2"/>
    <w:rsid w:val="7CEE3D71"/>
    <w:rsid w:val="7D4B16E9"/>
    <w:rsid w:val="7FBF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qFormat/>
    <w:uiPriority w:val="99"/>
    <w:rPr>
      <w:rFonts w:cs="Times New Roman"/>
      <w:b/>
      <w:bCs/>
    </w:rPr>
  </w:style>
  <w:style w:type="character" w:styleId="15">
    <w:name w:val="page number"/>
    <w:qFormat/>
    <w:uiPriority w:val="0"/>
  </w:style>
  <w:style w:type="paragraph" w:customStyle="1" w:styleId="16">
    <w:name w:val="_Style 9"/>
    <w:basedOn w:val="1"/>
    <w:qFormat/>
    <w:uiPriority w:val="0"/>
    <w:rPr>
      <w:rFonts w:ascii="Tahoma" w:hAnsi="Tahoma" w:eastAsia="Times New Roman"/>
      <w:kern w:val="0"/>
      <w:sz w:val="24"/>
      <w:szCs w:val="20"/>
    </w:rPr>
  </w:style>
  <w:style w:type="character" w:customStyle="1" w:styleId="17">
    <w:name w:val="da1"/>
    <w:qFormat/>
    <w:uiPriority w:val="0"/>
    <w:rPr>
      <w:rFonts w:hint="default" w:ascii="_x000B__x000C_" w:hAnsi="_x000B__x000C_"/>
      <w:color w:val="000000"/>
      <w:spacing w:val="360"/>
      <w:sz w:val="21"/>
      <w:szCs w:val="21"/>
      <w:u w:val="none"/>
    </w:rPr>
  </w:style>
  <w:style w:type="character" w:customStyle="1" w:styleId="18">
    <w:name w:val="UserStyle_1"/>
    <w:qFormat/>
    <w:uiPriority w:val="0"/>
    <w:rPr>
      <w:rFonts w:hint="default" w:ascii="Calibri" w:hAnsi="Calibri" w:cs="Calibri"/>
    </w:rPr>
  </w:style>
  <w:style w:type="paragraph" w:customStyle="1" w:styleId="19">
    <w:name w:val="Char1 Char Char Char Char Char Char Char Char Char Char Char"/>
    <w:basedOn w:val="1"/>
    <w:qFormat/>
    <w:uiPriority w:val="0"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20">
    <w:name w:val="Char Char Char Char"/>
    <w:basedOn w:val="1"/>
    <w:qFormat/>
    <w:uiPriority w:val="0"/>
    <w:rPr>
      <w:szCs w:val="21"/>
    </w:rPr>
  </w:style>
  <w:style w:type="paragraph" w:customStyle="1" w:styleId="21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等线"/>
      <w:szCs w:val="22"/>
    </w:rPr>
  </w:style>
  <w:style w:type="paragraph" w:customStyle="1" w:styleId="22">
    <w:name w:val="Char Char"/>
    <w:basedOn w:val="1"/>
    <w:qFormat/>
    <w:uiPriority w:val="0"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4">
    <w:name w:val="Char Char3"/>
    <w:basedOn w:val="1"/>
    <w:qFormat/>
    <w:uiPriority w:val="0"/>
  </w:style>
  <w:style w:type="paragraph" w:customStyle="1" w:styleId="25">
    <w:name w:val="_Style 3"/>
    <w:basedOn w:val="1"/>
    <w:qFormat/>
    <w:uiPriority w:val="0"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26">
    <w:name w:val="_Style 2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1300</Words>
  <Characters>1490</Characters>
  <Lines>37</Lines>
  <Paragraphs>30</Paragraphs>
  <TotalTime>0</TotalTime>
  <ScaleCrop>false</ScaleCrop>
  <LinksUpToDate>false</LinksUpToDate>
  <CharactersWithSpaces>1522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2007-02-01T10:10:00Z</dcterms:created>
  <dc:creator>liuyongping</dc:creator>
  <cp:lastModifiedBy>WPS_1591103659</cp:lastModifiedBy>
  <cp:lastPrinted>2009-03-27T09:12:00Z</cp:lastPrinted>
  <dcterms:modified xsi:type="dcterms:W3CDTF">2025-08-21T09:40:18Z</dcterms:modified>
  <dc:title>证券代码：000875            证券简称：吉电股份              公告编号：2014-062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02413B38DE5A4B50A691C7AEA2D2E84A_13</vt:lpwstr>
  </property>
  <property fmtid="{D5CDD505-2E9C-101B-9397-08002B2CF9AE}" pid="4" name="KSOTemplateDocerSaveRecord">
    <vt:lpwstr>eyJoZGlkIjoiODIyZDUxMmU3NmEwMTE5M2Q5ZTg0MGVmOGY5OWRhMDQiLCJ1c2VySWQiOiIxMDA0ODQwMzAwIn0=</vt:lpwstr>
  </property>
</Properties>
</file>