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4AB42">
      <w:pPr>
        <w:rPr>
          <w:rFonts w:hint="default" w:eastAsia="宋体"/>
          <w:lang w:val="en-US" w:eastAsia="zh-CN"/>
        </w:rPr>
      </w:pPr>
      <w:r>
        <w:t xml:space="preserve">证券代码：000875   </w:t>
      </w:r>
      <w:r>
        <w:rPr>
          <w:rFonts w:hint="eastAsia"/>
        </w:rPr>
        <w:t xml:space="preserve">         </w:t>
      </w:r>
      <w:r>
        <w:t>证券简称：吉电股份</w:t>
      </w:r>
      <w:r>
        <w:rPr>
          <w:rFonts w:hint="eastAsia"/>
        </w:rPr>
        <w:t xml:space="preserve">               </w:t>
      </w:r>
      <w:r>
        <w:t>公告编号：</w:t>
      </w:r>
      <w:r>
        <w:rPr>
          <w:rFonts w:hint="default" w:ascii="Times New Roman" w:hAnsi="Times New Roman" w:cs="Times New Roman"/>
        </w:rPr>
        <w:t>202</w:t>
      </w:r>
      <w:r>
        <w:rPr>
          <w:rFonts w:hint="eastAsia" w:ascii="Times New Roman" w:hAnsi="Times New Roman" w:cs="Times New Roman"/>
          <w:lang w:val="en-US" w:eastAsia="zh-CN"/>
        </w:rPr>
        <w:t>5</w:t>
      </w:r>
      <w:r>
        <w:rPr>
          <w:rFonts w:hint="default" w:ascii="Times New Roman" w:hAnsi="Times New Roman" w:cs="Times New Roman"/>
        </w:rPr>
        <w:t>-</w:t>
      </w:r>
      <w:r>
        <w:rPr>
          <w:rFonts w:hint="eastAsia" w:ascii="Times New Roman" w:hAnsi="Times New Roman" w:cs="Times New Roman"/>
          <w:lang w:val="en-US" w:eastAsia="zh-CN"/>
        </w:rPr>
        <w:t>080</w:t>
      </w:r>
    </w:p>
    <w:p w14:paraId="7F53A834">
      <w:pPr>
        <w:rPr>
          <w:rFonts w:hint="eastAsia" w:ascii="仿宋" w:hAnsi="仿宋" w:eastAsia="仿宋" w:cs="仿宋"/>
          <w:b/>
          <w:bCs/>
          <w:color w:val="000000"/>
          <w:kern w:val="0"/>
          <w:sz w:val="28"/>
          <w:szCs w:val="28"/>
          <w:lang w:val="en-US" w:eastAsia="zh-CN" w:bidi="ar"/>
        </w:rPr>
      </w:pPr>
      <w:r>
        <w:rPr>
          <w:rFonts w:hint="default" w:ascii="Times New Roman" w:hAnsi="Times New Roman" w:cs="Times New Roman"/>
          <w:color w:val="FF6600"/>
        </w:rPr>
        <mc:AlternateContent>
          <mc:Choice Requires="wps">
            <w:drawing>
              <wp:anchor distT="0" distB="0" distL="114300" distR="114300" simplePos="0" relativeHeight="251660288" behindDoc="0" locked="0" layoutInCell="1" allowOverlap="1">
                <wp:simplePos x="0" y="0"/>
                <wp:positionH relativeFrom="column">
                  <wp:posOffset>-108585</wp:posOffset>
                </wp:positionH>
                <wp:positionV relativeFrom="paragraph">
                  <wp:posOffset>61595</wp:posOffset>
                </wp:positionV>
                <wp:extent cx="5417820" cy="22860"/>
                <wp:effectExtent l="0" t="28575" r="7620" b="40005"/>
                <wp:wrapNone/>
                <wp:docPr id="1" name="直线 2"/>
                <wp:cNvGraphicFramePr/>
                <a:graphic xmlns:a="http://schemas.openxmlformats.org/drawingml/2006/main">
                  <a:graphicData uri="http://schemas.microsoft.com/office/word/2010/wordprocessingShape">
                    <wps:wsp>
                      <wps:cNvCnPr/>
                      <wps:spPr>
                        <a:xfrm flipV="1">
                          <a:off x="0" y="0"/>
                          <a:ext cx="5417820" cy="22860"/>
                        </a:xfrm>
                        <a:prstGeom prst="line">
                          <a:avLst/>
                        </a:prstGeom>
                        <a:ln w="57150" cap="flat" cmpd="thinThick">
                          <a:solidFill>
                            <a:srgbClr val="FF66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8.55pt;margin-top:4.85pt;height:1.8pt;width:426.6pt;z-index:251660288;mso-width-relative:page;mso-height-relative:page;" filled="f" stroked="t" coordsize="21600,21600" o:gfxdata="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sUAFbWAAAACAEAAA8AAAAAAAAAAQAgAAAAIgAAAGRycy9kb3ducmV2LnhtbFBL&#10;AQIUABQAAAAIAIdO4kBTRW0n+AEAAPADAAAOAAAAAAAAAAEAIAAAACUBAABkcnMvZTJvRG9jLnht&#10;bFBLBQYAAAAABgAGAFkBAACPBQAAAAA=&#10;">
                <v:fill on="f" focussize="0,0"/>
                <v:stroke weight="4.5pt" color="#FF6600" linestyle="thinThick" joinstyle="round"/>
                <v:imagedata o:title=""/>
                <o:lock v:ext="edit" aspectratio="f"/>
              </v:line>
            </w:pict>
          </mc:Fallback>
        </mc:AlternateContent>
      </w:r>
    </w:p>
    <w:p w14:paraId="2A8FB660">
      <w:pPr>
        <w:jc w:val="center"/>
        <w:rPr>
          <w:rFonts w:hint="eastAsia" w:ascii="Times New Roman" w:hAnsi="Times New Roman" w:cs="Times New Roman"/>
          <w:b/>
          <w:sz w:val="44"/>
          <w:szCs w:val="44"/>
          <w:lang w:val="en-US" w:eastAsia="zh-CN"/>
        </w:rPr>
      </w:pPr>
      <w:r>
        <w:rPr>
          <w:rFonts w:hint="eastAsia" w:ascii="Times New Roman" w:hAnsi="Times New Roman" w:cs="Times New Roman"/>
          <w:b/>
          <w:sz w:val="44"/>
          <w:szCs w:val="44"/>
          <w:lang w:val="en-US" w:eastAsia="zh-CN"/>
        </w:rPr>
        <w:t>吉林电力股份有限公司</w:t>
      </w:r>
    </w:p>
    <w:p w14:paraId="0BA57BAB">
      <w:pPr>
        <w:jc w:val="center"/>
        <w:rPr>
          <w:rFonts w:hint="eastAsia" w:ascii="Times New Roman" w:hAnsi="Times New Roman" w:cs="Times New Roman"/>
          <w:b/>
          <w:sz w:val="44"/>
          <w:szCs w:val="44"/>
          <w:lang w:val="en-US" w:eastAsia="zh-CN"/>
        </w:rPr>
      </w:pPr>
      <w:r>
        <w:rPr>
          <w:rFonts w:hint="eastAsia" w:ascii="Times New Roman" w:hAnsi="Times New Roman" w:cs="Times New Roman"/>
          <w:b/>
          <w:sz w:val="44"/>
          <w:szCs w:val="44"/>
          <w:lang w:val="en-US" w:eastAsia="zh-CN"/>
        </w:rPr>
        <w:t>2025年半年度分红派息实施公告</w:t>
      </w:r>
    </w:p>
    <w:p w14:paraId="5EEE0C95">
      <w:pPr>
        <w:ind w:firstLine="562" w:firstLineChars="200"/>
        <w:rPr>
          <w:rFonts w:hint="default" w:ascii="Times New Roman" w:hAnsi="Times New Roman" w:eastAsia="仿宋" w:cs="Times New Roman"/>
          <w:b/>
          <w:sz w:val="28"/>
          <w:szCs w:val="28"/>
        </w:rPr>
      </w:pPr>
    </w:p>
    <w:p w14:paraId="6D390671">
      <w:pPr>
        <w:ind w:firstLine="562" w:firstLineChars="200"/>
        <w:rPr>
          <w:rFonts w:hint="default" w:ascii="Times New Roman" w:hAnsi="Times New Roman" w:eastAsia="仿宋" w:cs="Times New Roman"/>
          <w:b/>
          <w:sz w:val="28"/>
          <w:szCs w:val="28"/>
        </w:rPr>
      </w:pPr>
      <w:r>
        <w:rPr>
          <w:rFonts w:hint="default" w:ascii="Times New Roman" w:hAnsi="Times New Roman" w:eastAsia="仿宋" w:cs="Times New Roman"/>
          <w:b/>
          <w:sz w:val="28"/>
          <w:szCs w:val="28"/>
        </w:rPr>
        <w:t>本公司及董事会全体成员保证信息披露的内容真实、准确、完整，没有虚假记载、误导性陈述或重大遗漏。</w:t>
      </w:r>
    </w:p>
    <w:p w14:paraId="605AAA31">
      <w:pPr>
        <w:pStyle w:val="8"/>
        <w:keepNext w:val="0"/>
        <w:keepLines w:val="0"/>
        <w:pageBreakBefore w:val="0"/>
        <w:widowControl w:val="0"/>
        <w:kinsoku/>
        <w:wordWrap/>
        <w:overflowPunct/>
        <w:topLinePunct w:val="0"/>
        <w:autoSpaceDE/>
        <w:autoSpaceDN/>
        <w:bidi w:val="0"/>
        <w:adjustRightInd w:val="0"/>
        <w:snapToGrid w:val="0"/>
        <w:spacing w:line="600" w:lineRule="exact"/>
        <w:ind w:left="0" w:leftChars="0" w:firstLine="560"/>
        <w:textAlignment w:val="auto"/>
        <w:rPr>
          <w:rFonts w:hint="eastAsia" w:ascii="仿宋" w:hAnsi="仿宋" w:eastAsia="仿宋" w:cs="仿宋"/>
          <w:kern w:val="2"/>
          <w:sz w:val="28"/>
          <w:szCs w:val="28"/>
          <w:shd w:val="clear" w:color="auto" w:fill="auto"/>
          <w:lang w:val="en-US" w:eastAsia="zh-CN" w:bidi="ar-SA"/>
        </w:rPr>
      </w:pPr>
    </w:p>
    <w:p w14:paraId="3B1D1A8D">
      <w:pPr>
        <w:keepNext w:val="0"/>
        <w:keepLines w:val="0"/>
        <w:widowControl/>
        <w:suppressLineNumbers w:val="0"/>
        <w:ind w:firstLine="560" w:firstLineChars="200"/>
        <w:jc w:val="both"/>
        <w:rPr>
          <w:rFonts w:hint="default" w:ascii="仿宋" w:hAnsi="仿宋" w:eastAsia="仿宋" w:cs="仿宋"/>
          <w:color w:val="000000"/>
          <w:kern w:val="0"/>
          <w:sz w:val="28"/>
          <w:szCs w:val="28"/>
          <w:lang w:val="en-US" w:eastAsia="zh-CN" w:bidi="ar"/>
        </w:rPr>
      </w:pPr>
      <w:r>
        <w:rPr>
          <w:rFonts w:hint="eastAsia" w:ascii="仿宋" w:hAnsi="仿宋" w:eastAsia="仿宋" w:cs="仿宋"/>
          <w:kern w:val="2"/>
          <w:sz w:val="28"/>
          <w:szCs w:val="28"/>
          <w:shd w:val="clear" w:color="auto" w:fill="auto"/>
          <w:lang w:val="en-US" w:eastAsia="zh-CN" w:bidi="ar-SA"/>
        </w:rPr>
        <w:t>吉林电力股份有限</w:t>
      </w:r>
      <w:r>
        <w:rPr>
          <w:rFonts w:hint="eastAsia" w:ascii="仿宋" w:hAnsi="仿宋" w:eastAsia="仿宋" w:cs="仿宋"/>
          <w:b w:val="0"/>
          <w:bCs w:val="0"/>
          <w:color w:val="000000"/>
          <w:kern w:val="0"/>
          <w:sz w:val="28"/>
          <w:szCs w:val="28"/>
          <w:lang w:val="en-US" w:eastAsia="zh-CN" w:bidi="ar"/>
        </w:rPr>
        <w:t>公司（以下简称“公司”）</w:t>
      </w:r>
      <w:r>
        <w:rPr>
          <w:rFonts w:hint="eastAsia" w:ascii="仿宋" w:hAnsi="仿宋" w:eastAsia="仿宋" w:cs="仿宋"/>
          <w:color w:val="000000"/>
          <w:kern w:val="0"/>
          <w:sz w:val="28"/>
          <w:szCs w:val="28"/>
          <w:lang w:bidi="ar"/>
        </w:rPr>
        <w:t>于2025年8月20日召开了第九届董事会第三十四次会议和第九届监事会第二十二次会议，审议通过了《公司2025年半年度利润分配预案》</w:t>
      </w:r>
      <w:r>
        <w:rPr>
          <w:rFonts w:hint="eastAsia" w:ascii="仿宋" w:hAnsi="仿宋" w:eastAsia="仿宋" w:cs="仿宋"/>
          <w:color w:val="000000"/>
          <w:kern w:val="0"/>
          <w:sz w:val="28"/>
          <w:szCs w:val="28"/>
          <w:lang w:eastAsia="zh-CN" w:bidi="ar"/>
        </w:rPr>
        <w:t>。</w:t>
      </w:r>
      <w:r>
        <w:rPr>
          <w:rFonts w:hint="eastAsia" w:ascii="仿宋" w:hAnsi="仿宋" w:eastAsia="仿宋" w:cs="仿宋"/>
          <w:color w:val="000000"/>
          <w:kern w:val="0"/>
          <w:sz w:val="28"/>
          <w:szCs w:val="28"/>
          <w:lang w:val="en-US" w:eastAsia="zh-CN" w:bidi="ar"/>
        </w:rPr>
        <w:t>现将分红派息相关情况公告如下：</w:t>
      </w:r>
    </w:p>
    <w:p w14:paraId="67A60EC6">
      <w:pPr>
        <w:keepNext w:val="0"/>
        <w:keepLines w:val="0"/>
        <w:widowControl/>
        <w:suppressLineNumbers w:val="0"/>
        <w:ind w:firstLine="562" w:firstLineChars="200"/>
        <w:jc w:val="both"/>
        <w:rPr>
          <w:rFonts w:hint="default" w:ascii="仿宋" w:hAnsi="仿宋" w:eastAsia="仿宋" w:cs="仿宋"/>
          <w:b/>
          <w:bCs/>
          <w:kern w:val="2"/>
          <w:sz w:val="28"/>
          <w:szCs w:val="28"/>
          <w:shd w:val="clear" w:color="auto" w:fill="auto"/>
          <w:lang w:val="en-US" w:eastAsia="zh-CN" w:bidi="ar-SA"/>
        </w:rPr>
      </w:pPr>
      <w:r>
        <w:rPr>
          <w:rFonts w:hint="eastAsia" w:ascii="仿宋" w:hAnsi="仿宋" w:eastAsia="仿宋" w:cs="仿宋"/>
          <w:b/>
          <w:bCs/>
          <w:kern w:val="2"/>
          <w:sz w:val="28"/>
          <w:szCs w:val="28"/>
          <w:shd w:val="clear" w:color="auto" w:fill="auto"/>
          <w:lang w:val="en-US" w:eastAsia="zh-CN" w:bidi="ar-SA"/>
        </w:rPr>
        <w:t>一、</w:t>
      </w:r>
      <w:r>
        <w:rPr>
          <w:rFonts w:hint="default" w:ascii="仿宋" w:hAnsi="仿宋" w:eastAsia="仿宋" w:cs="仿宋"/>
          <w:b/>
          <w:bCs/>
          <w:kern w:val="2"/>
          <w:sz w:val="28"/>
          <w:szCs w:val="28"/>
          <w:shd w:val="clear" w:color="auto" w:fill="auto"/>
          <w:lang w:val="en-US" w:eastAsia="zh-CN" w:bidi="ar-SA"/>
        </w:rPr>
        <w:t>股东会审议通过利润分配预案</w:t>
      </w:r>
      <w:r>
        <w:rPr>
          <w:rFonts w:hint="eastAsia" w:ascii="仿宋" w:hAnsi="仿宋" w:eastAsia="仿宋" w:cs="仿宋"/>
          <w:b/>
          <w:bCs/>
          <w:kern w:val="2"/>
          <w:sz w:val="28"/>
          <w:szCs w:val="28"/>
          <w:shd w:val="clear" w:color="auto" w:fill="auto"/>
          <w:lang w:val="en-US" w:eastAsia="zh-CN" w:bidi="ar-SA"/>
        </w:rPr>
        <w:t>等</w:t>
      </w:r>
      <w:r>
        <w:rPr>
          <w:rFonts w:hint="default" w:ascii="仿宋" w:hAnsi="仿宋" w:eastAsia="仿宋" w:cs="仿宋"/>
          <w:b/>
          <w:bCs/>
          <w:kern w:val="2"/>
          <w:sz w:val="28"/>
          <w:szCs w:val="28"/>
          <w:shd w:val="clear" w:color="auto" w:fill="auto"/>
          <w:lang w:val="en-US" w:eastAsia="zh-CN" w:bidi="ar-SA"/>
        </w:rPr>
        <w:t>情况</w:t>
      </w:r>
    </w:p>
    <w:p w14:paraId="42DDAA61">
      <w:pPr>
        <w:keepNext w:val="0"/>
        <w:keepLines w:val="0"/>
        <w:widowControl/>
        <w:suppressLineNumbers w:val="0"/>
        <w:ind w:firstLine="560" w:firstLineChars="200"/>
        <w:jc w:val="both"/>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kern w:val="2"/>
          <w:sz w:val="28"/>
          <w:szCs w:val="28"/>
          <w:shd w:val="clear" w:color="auto" w:fill="auto"/>
          <w:lang w:val="en-US" w:eastAsia="zh-CN" w:bidi="ar-SA"/>
        </w:rPr>
        <w:t>1.公司于2025年5月20日召开2024年度股东会，审议通过了《公司2025年中期分红计划》，</w:t>
      </w:r>
      <w:r>
        <w:rPr>
          <w:rFonts w:hint="eastAsia" w:ascii="仿宋" w:hAnsi="仿宋" w:eastAsia="仿宋" w:cs="仿宋"/>
          <w:b w:val="0"/>
          <w:bCs w:val="0"/>
          <w:color w:val="000000"/>
          <w:kern w:val="0"/>
          <w:sz w:val="28"/>
          <w:szCs w:val="28"/>
          <w:lang w:val="en-US" w:eastAsia="zh-CN" w:bidi="ar"/>
        </w:rPr>
        <w:t>同意公司2025年中期持续盈利、累计未分配利润为正且满足现金分红条件的情况下，以不影响公司正常经营和持续发展为前提，根据实际情况在2025年半年度报告、第三季度报告披露后适当进行一次至两次中期分红，现金分红金额不超过相应期间归属于上市公司股东的净利润的10%。股东会同意授权董事会根据股东会决议在符合利润分配政策的条件下制定具体的中期分红方案。</w:t>
      </w:r>
    </w:p>
    <w:p w14:paraId="4084B69D">
      <w:pPr>
        <w:keepNext w:val="0"/>
        <w:keepLines w:val="0"/>
        <w:widowControl/>
        <w:suppressLineNumbers w:val="0"/>
        <w:ind w:firstLine="560" w:firstLineChars="200"/>
        <w:jc w:val="both"/>
        <w:rPr>
          <w:rFonts w:hint="eastAsia" w:ascii="仿宋" w:hAnsi="仿宋" w:eastAsia="仿宋"/>
          <w:kern w:val="2"/>
          <w:sz w:val="28"/>
          <w:szCs w:val="28"/>
        </w:rPr>
      </w:pPr>
      <w:r>
        <w:rPr>
          <w:rFonts w:hint="eastAsia" w:ascii="仿宋" w:hAnsi="仿宋" w:eastAsia="仿宋" w:cs="仿宋"/>
          <w:color w:val="000000"/>
          <w:kern w:val="0"/>
          <w:sz w:val="28"/>
          <w:szCs w:val="28"/>
          <w:lang w:val="en-US" w:eastAsia="zh-CN" w:bidi="ar"/>
        </w:rPr>
        <w:t>2.公司</w:t>
      </w:r>
      <w:r>
        <w:rPr>
          <w:rFonts w:hint="eastAsia" w:ascii="仿宋" w:hAnsi="仿宋" w:eastAsia="仿宋" w:cs="仿宋"/>
          <w:color w:val="000000"/>
          <w:kern w:val="0"/>
          <w:sz w:val="28"/>
          <w:szCs w:val="28"/>
          <w:lang w:bidi="ar"/>
        </w:rPr>
        <w:t>于2025年8月20日召开了第九届董事会第三十四次会议和第九届监事会第二十二次会议，审议通过了《公司2025年半年度利润分配预案》</w:t>
      </w:r>
      <w:r>
        <w:rPr>
          <w:rFonts w:hint="eastAsia" w:ascii="仿宋" w:hAnsi="仿宋" w:eastAsia="仿宋" w:cs="仿宋"/>
          <w:b w:val="0"/>
          <w:bCs w:val="0"/>
          <w:color w:val="000000"/>
          <w:kern w:val="0"/>
          <w:sz w:val="28"/>
          <w:szCs w:val="28"/>
          <w:lang w:val="en-US" w:eastAsia="zh-CN" w:bidi="ar"/>
        </w:rPr>
        <w:t>，利润分配方案为：</w:t>
      </w:r>
      <w:r>
        <w:rPr>
          <w:rFonts w:eastAsia="仿宋"/>
          <w:sz w:val="28"/>
          <w:szCs w:val="28"/>
        </w:rPr>
        <w:t>以公司现有</w:t>
      </w:r>
      <w:r>
        <w:rPr>
          <w:rFonts w:hint="eastAsia" w:ascii="仿宋" w:hAnsi="仿宋" w:eastAsia="仿宋"/>
          <w:kern w:val="2"/>
          <w:sz w:val="28"/>
          <w:szCs w:val="28"/>
        </w:rPr>
        <w:t>总股本3,627,270,626股为分配基数，向全体股东每10股派发现金红利0.2元（含税），本次分红预计72,545,412.52元，不送红股，不以资本公积金转增股本，分红率9.9991%。分配方案披露至实施期间，由于可转债转股、股份回购、股权激励行权等原因导致总股本发生变化，将按照分派总额不变的原则相应调整分配比例。本次利润分配预案符合《公司202</w:t>
      </w:r>
      <w:r>
        <w:rPr>
          <w:rFonts w:hint="eastAsia" w:ascii="仿宋" w:hAnsi="仿宋" w:eastAsia="仿宋"/>
          <w:kern w:val="2"/>
          <w:sz w:val="28"/>
          <w:szCs w:val="28"/>
          <w:lang w:val="en-US" w:eastAsia="zh-CN"/>
        </w:rPr>
        <w:t>5</w:t>
      </w:r>
      <w:r>
        <w:rPr>
          <w:rFonts w:hint="eastAsia" w:ascii="仿宋" w:hAnsi="仿宋" w:eastAsia="仿宋"/>
          <w:kern w:val="2"/>
          <w:sz w:val="28"/>
          <w:szCs w:val="28"/>
        </w:rPr>
        <w:t>年中期分红安排》，无需提交股东会审议。</w:t>
      </w:r>
    </w:p>
    <w:p w14:paraId="27402D03">
      <w:pPr>
        <w:keepNext w:val="0"/>
        <w:keepLines w:val="0"/>
        <w:widowControl/>
        <w:suppressLineNumbers w:val="0"/>
        <w:ind w:firstLine="560" w:firstLineChars="200"/>
        <w:jc w:val="left"/>
        <w:rPr>
          <w:rFonts w:hint="eastAsia" w:ascii="仿宋" w:hAnsi="仿宋" w:eastAsia="仿宋"/>
          <w:kern w:val="2"/>
          <w:sz w:val="28"/>
          <w:szCs w:val="28"/>
          <w:lang w:val="en-US" w:eastAsia="zh-CN"/>
        </w:rPr>
      </w:pPr>
      <w:r>
        <w:rPr>
          <w:rFonts w:hint="eastAsia" w:ascii="仿宋" w:hAnsi="仿宋" w:eastAsia="仿宋" w:cs="仿宋"/>
          <w:color w:val="000000"/>
          <w:kern w:val="0"/>
          <w:sz w:val="28"/>
          <w:szCs w:val="28"/>
          <w:highlight w:val="none"/>
          <w:lang w:val="en-US" w:eastAsia="zh-CN" w:bidi="ar"/>
        </w:rPr>
        <w:t>3.</w:t>
      </w:r>
      <w:r>
        <w:rPr>
          <w:rFonts w:hint="default" w:ascii="仿宋" w:hAnsi="仿宋" w:eastAsia="仿宋" w:cs="仿宋"/>
          <w:color w:val="000000"/>
          <w:kern w:val="0"/>
          <w:sz w:val="28"/>
          <w:szCs w:val="28"/>
          <w:highlight w:val="none"/>
          <w:lang w:val="en-US" w:eastAsia="zh-CN" w:bidi="ar"/>
        </w:rPr>
        <w:t>本次实施分配方案距离</w:t>
      </w:r>
      <w:r>
        <w:rPr>
          <w:rFonts w:hint="eastAsia" w:ascii="仿宋" w:hAnsi="仿宋" w:eastAsia="仿宋" w:cs="仿宋"/>
          <w:color w:val="000000"/>
          <w:kern w:val="0"/>
          <w:sz w:val="28"/>
          <w:szCs w:val="28"/>
          <w:highlight w:val="none"/>
          <w:lang w:val="en-US" w:eastAsia="zh-CN" w:bidi="ar"/>
        </w:rPr>
        <w:t>董事会</w:t>
      </w:r>
      <w:r>
        <w:rPr>
          <w:rFonts w:hint="default" w:ascii="仿宋" w:hAnsi="仿宋" w:eastAsia="仿宋" w:cs="仿宋"/>
          <w:color w:val="000000"/>
          <w:kern w:val="0"/>
          <w:sz w:val="28"/>
          <w:szCs w:val="28"/>
          <w:highlight w:val="none"/>
          <w:lang w:val="en-US" w:eastAsia="zh-CN" w:bidi="ar"/>
        </w:rPr>
        <w:t>审议通过的时间未超过两个月。</w:t>
      </w:r>
    </w:p>
    <w:p w14:paraId="6EEC616A">
      <w:pPr>
        <w:keepNext w:val="0"/>
        <w:keepLines w:val="0"/>
        <w:widowControl/>
        <w:suppressLineNumbers w:val="0"/>
        <w:ind w:firstLine="560" w:firstLineChars="200"/>
        <w:jc w:val="left"/>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color w:val="000000"/>
          <w:kern w:val="0"/>
          <w:sz w:val="28"/>
          <w:szCs w:val="28"/>
          <w:highlight w:val="none"/>
          <w:lang w:val="en-US" w:eastAsia="zh-CN" w:bidi="ar"/>
        </w:rPr>
        <w:t>4</w:t>
      </w:r>
      <w:r>
        <w:rPr>
          <w:rFonts w:hint="eastAsia" w:ascii="仿宋" w:hAnsi="仿宋" w:eastAsia="仿宋" w:cs="仿宋"/>
          <w:color w:val="000000"/>
          <w:kern w:val="0"/>
          <w:sz w:val="28"/>
          <w:szCs w:val="28"/>
          <w:lang w:val="en-US" w:eastAsia="zh-CN" w:bidi="ar"/>
        </w:rPr>
        <w:t>.</w:t>
      </w:r>
      <w:r>
        <w:rPr>
          <w:rFonts w:hint="eastAsia" w:ascii="仿宋" w:hAnsi="仿宋" w:eastAsia="仿宋" w:cs="仿宋"/>
          <w:kern w:val="2"/>
          <w:sz w:val="28"/>
          <w:szCs w:val="28"/>
          <w:shd w:val="clear" w:color="auto" w:fill="auto"/>
          <w:lang w:val="en-US" w:eastAsia="zh-CN" w:bidi="ar-SA"/>
        </w:rPr>
        <w:t>自公司</w:t>
      </w:r>
      <w:r>
        <w:rPr>
          <w:rFonts w:hint="default" w:ascii="仿宋" w:hAnsi="仿宋" w:eastAsia="仿宋" w:cs="仿宋"/>
          <w:kern w:val="2"/>
          <w:sz w:val="28"/>
          <w:szCs w:val="28"/>
          <w:shd w:val="clear" w:color="auto" w:fill="auto"/>
          <w:lang w:val="en-US" w:eastAsia="zh-CN" w:bidi="ar-SA"/>
        </w:rPr>
        <w:t>利润分配预案披露至实施期间，公司股本总额未发生变化。</w:t>
      </w:r>
    </w:p>
    <w:p w14:paraId="47D90A79">
      <w:pPr>
        <w:keepNext w:val="0"/>
        <w:keepLines w:val="0"/>
        <w:widowControl/>
        <w:numPr>
          <w:ilvl w:val="0"/>
          <w:numId w:val="0"/>
        </w:numPr>
        <w:suppressLineNumbers w:val="0"/>
        <w:ind w:firstLine="562" w:firstLineChars="200"/>
        <w:jc w:val="both"/>
        <w:rPr>
          <w:rFonts w:hint="default" w:ascii="仿宋" w:hAnsi="仿宋" w:eastAsia="仿宋" w:cs="仿宋"/>
          <w:b/>
          <w:bCs/>
          <w:kern w:val="2"/>
          <w:sz w:val="28"/>
          <w:szCs w:val="28"/>
          <w:shd w:val="clear" w:color="auto" w:fill="auto"/>
          <w:lang w:val="en-US" w:eastAsia="zh-CN" w:bidi="ar-SA"/>
        </w:rPr>
      </w:pPr>
      <w:r>
        <w:rPr>
          <w:rFonts w:hint="default" w:ascii="仿宋" w:hAnsi="仿宋" w:eastAsia="仿宋" w:cs="仿宋"/>
          <w:b/>
          <w:bCs/>
          <w:kern w:val="2"/>
          <w:sz w:val="28"/>
          <w:szCs w:val="28"/>
          <w:shd w:val="clear" w:color="auto" w:fill="auto"/>
          <w:lang w:val="en-US" w:eastAsia="zh-CN" w:bidi="ar-SA"/>
        </w:rPr>
        <w:t>二、</w:t>
      </w:r>
      <w:r>
        <w:rPr>
          <w:rFonts w:hint="eastAsia" w:ascii="仿宋" w:hAnsi="仿宋" w:eastAsia="仿宋" w:cs="仿宋"/>
          <w:b/>
          <w:bCs/>
          <w:kern w:val="2"/>
          <w:sz w:val="28"/>
          <w:szCs w:val="28"/>
          <w:shd w:val="clear" w:color="auto" w:fill="auto"/>
          <w:lang w:val="en-US" w:eastAsia="zh-CN" w:bidi="ar-SA"/>
        </w:rPr>
        <w:t>本次实施的利润分配</w:t>
      </w:r>
      <w:r>
        <w:rPr>
          <w:rFonts w:hint="default" w:ascii="仿宋" w:hAnsi="仿宋" w:eastAsia="仿宋" w:cs="仿宋"/>
          <w:b/>
          <w:bCs/>
          <w:kern w:val="2"/>
          <w:sz w:val="28"/>
          <w:szCs w:val="28"/>
          <w:shd w:val="clear" w:color="auto" w:fill="auto"/>
          <w:lang w:val="en-US" w:eastAsia="zh-CN" w:bidi="ar-SA"/>
        </w:rPr>
        <w:t>方案</w:t>
      </w:r>
    </w:p>
    <w:p w14:paraId="6E4DBD89">
      <w:pPr>
        <w:keepNext w:val="0"/>
        <w:keepLines w:val="0"/>
        <w:widowControl/>
        <w:suppressLineNumbers w:val="0"/>
        <w:ind w:firstLine="560" w:firstLineChars="200"/>
        <w:jc w:val="both"/>
        <w:rPr>
          <w:rFonts w:hint="default" w:ascii="仿宋" w:hAnsi="仿宋" w:eastAsia="仿宋" w:cs="仿宋"/>
          <w:kern w:val="2"/>
          <w:sz w:val="28"/>
          <w:szCs w:val="28"/>
          <w:highlight w:val="none"/>
          <w:shd w:val="clear" w:color="auto" w:fill="auto"/>
          <w:lang w:val="en-US" w:eastAsia="zh-CN" w:bidi="ar-SA"/>
        </w:rPr>
      </w:pPr>
      <w:r>
        <w:rPr>
          <w:rFonts w:hint="default" w:ascii="仿宋" w:hAnsi="仿宋" w:eastAsia="仿宋" w:cs="仿宋"/>
          <w:kern w:val="2"/>
          <w:sz w:val="28"/>
          <w:szCs w:val="28"/>
          <w:shd w:val="clear" w:color="auto" w:fill="auto"/>
          <w:lang w:val="en-US" w:eastAsia="zh-CN" w:bidi="ar-SA"/>
        </w:rPr>
        <w:t>公司202</w:t>
      </w:r>
      <w:r>
        <w:rPr>
          <w:rFonts w:hint="eastAsia" w:ascii="仿宋" w:hAnsi="仿宋" w:eastAsia="仿宋" w:cs="仿宋"/>
          <w:kern w:val="2"/>
          <w:sz w:val="28"/>
          <w:szCs w:val="28"/>
          <w:shd w:val="clear" w:color="auto" w:fill="auto"/>
          <w:lang w:val="en-US" w:eastAsia="zh-CN" w:bidi="ar-SA"/>
        </w:rPr>
        <w:t>5</w:t>
      </w:r>
      <w:r>
        <w:rPr>
          <w:rFonts w:hint="default" w:ascii="仿宋" w:hAnsi="仿宋" w:eastAsia="仿宋" w:cs="仿宋"/>
          <w:kern w:val="2"/>
          <w:sz w:val="28"/>
          <w:szCs w:val="28"/>
          <w:shd w:val="clear" w:color="auto" w:fill="auto"/>
          <w:lang w:val="en-US" w:eastAsia="zh-CN" w:bidi="ar-SA"/>
        </w:rPr>
        <w:t>年度</w:t>
      </w:r>
      <w:r>
        <w:rPr>
          <w:rFonts w:hint="eastAsia" w:ascii="仿宋" w:hAnsi="仿宋" w:eastAsia="仿宋" w:cs="仿宋"/>
          <w:kern w:val="2"/>
          <w:sz w:val="28"/>
          <w:szCs w:val="28"/>
          <w:shd w:val="clear" w:color="auto" w:fill="auto"/>
          <w:lang w:val="en-US" w:eastAsia="zh-CN" w:bidi="ar-SA"/>
        </w:rPr>
        <w:t>利润分配</w:t>
      </w:r>
      <w:r>
        <w:rPr>
          <w:rFonts w:hint="default" w:ascii="仿宋" w:hAnsi="仿宋" w:eastAsia="仿宋" w:cs="仿宋"/>
          <w:kern w:val="2"/>
          <w:sz w:val="28"/>
          <w:szCs w:val="28"/>
          <w:shd w:val="clear" w:color="auto" w:fill="auto"/>
          <w:lang w:val="en-US" w:eastAsia="zh-CN" w:bidi="ar-SA"/>
        </w:rPr>
        <w:t>方案为：以公司</w:t>
      </w:r>
      <w:r>
        <w:rPr>
          <w:rFonts w:hint="eastAsia" w:ascii="仿宋" w:hAnsi="仿宋" w:eastAsia="仿宋" w:cs="仿宋"/>
          <w:kern w:val="2"/>
          <w:sz w:val="28"/>
          <w:szCs w:val="28"/>
          <w:shd w:val="clear" w:color="auto" w:fill="auto"/>
          <w:lang w:val="en-US" w:eastAsia="zh-CN" w:bidi="ar-SA"/>
        </w:rPr>
        <w:t>现有</w:t>
      </w:r>
      <w:r>
        <w:rPr>
          <w:rFonts w:hint="default" w:ascii="仿宋" w:hAnsi="仿宋" w:eastAsia="仿宋" w:cs="仿宋"/>
          <w:kern w:val="2"/>
          <w:sz w:val="28"/>
          <w:szCs w:val="28"/>
          <w:shd w:val="clear" w:color="auto" w:fill="auto"/>
          <w:lang w:val="en-US" w:eastAsia="zh-CN" w:bidi="ar-SA"/>
        </w:rPr>
        <w:t>总股本3,627,270,626股为分配基数，向全体股东每10股派发现金红利0.</w:t>
      </w:r>
      <w:r>
        <w:rPr>
          <w:rFonts w:hint="eastAsia" w:ascii="仿宋" w:hAnsi="仿宋" w:eastAsia="仿宋" w:cs="仿宋"/>
          <w:kern w:val="2"/>
          <w:sz w:val="28"/>
          <w:szCs w:val="28"/>
          <w:shd w:val="clear" w:color="auto" w:fill="auto"/>
          <w:lang w:val="en-US" w:eastAsia="zh-CN" w:bidi="ar-SA"/>
        </w:rPr>
        <w:t>2</w:t>
      </w:r>
      <w:r>
        <w:rPr>
          <w:rFonts w:hint="default" w:ascii="仿宋" w:hAnsi="仿宋" w:eastAsia="仿宋" w:cs="仿宋"/>
          <w:kern w:val="2"/>
          <w:sz w:val="28"/>
          <w:szCs w:val="28"/>
          <w:shd w:val="clear" w:color="auto" w:fill="auto"/>
          <w:lang w:val="en-US" w:eastAsia="zh-CN" w:bidi="ar-SA"/>
        </w:rPr>
        <w:t>元</w:t>
      </w:r>
      <w:r>
        <w:rPr>
          <w:rFonts w:hint="default" w:ascii="仿宋" w:hAnsi="仿宋" w:eastAsia="仿宋" w:cs="仿宋"/>
          <w:kern w:val="2"/>
          <w:sz w:val="28"/>
          <w:szCs w:val="28"/>
          <w:highlight w:val="none"/>
          <w:shd w:val="clear" w:color="auto" w:fill="auto"/>
          <w:lang w:val="en-US" w:eastAsia="zh-CN" w:bidi="ar-SA"/>
        </w:rPr>
        <w:t>（含税；扣税后，通过深股通持有股份的香港市场投资者、QFII、RQFII以及持有首发前限售股的个人和证券投资基金每10股派</w:t>
      </w:r>
      <w:r>
        <w:rPr>
          <w:rFonts w:hint="eastAsia" w:ascii="仿宋" w:hAnsi="仿宋" w:eastAsia="仿宋" w:cs="仿宋"/>
          <w:kern w:val="2"/>
          <w:sz w:val="28"/>
          <w:szCs w:val="28"/>
          <w:highlight w:val="none"/>
          <w:shd w:val="clear" w:color="auto" w:fill="auto"/>
          <w:lang w:val="en-US" w:eastAsia="zh-CN" w:bidi="ar-SA"/>
        </w:rPr>
        <w:t>0.18</w:t>
      </w:r>
      <w:r>
        <w:rPr>
          <w:rFonts w:hint="default" w:ascii="仿宋" w:hAnsi="仿宋" w:eastAsia="仿宋" w:cs="仿宋"/>
          <w:kern w:val="2"/>
          <w:sz w:val="28"/>
          <w:szCs w:val="28"/>
          <w:highlight w:val="none"/>
          <w:shd w:val="clear" w:color="auto" w:fill="auto"/>
          <w:lang w:val="en-US" w:eastAsia="zh-CN" w:bidi="ar-SA"/>
        </w:rPr>
        <w:t>元；持有首发后限售股、股权激励限售股及无限售流通股的个人股息红利税实行差别化税率征收，本公司暂不扣缴个人所得税，待个人转让股票时，根据其持股期限计算应纳税额【注】；持有首发后限售股、股权激励限售股及无限售流通股的证券投资基金所涉红利税，对香港投资者持有基金份额部分按10%征收，对内地投资者持有基金份额部分实行差别化税率征收）。</w:t>
      </w:r>
    </w:p>
    <w:p w14:paraId="375DB405">
      <w:pPr>
        <w:keepNext w:val="0"/>
        <w:keepLines w:val="0"/>
        <w:widowControl/>
        <w:suppressLineNumbers w:val="0"/>
        <w:ind w:firstLine="560" w:firstLineChars="200"/>
        <w:jc w:val="both"/>
        <w:rPr>
          <w:rFonts w:hint="default" w:ascii="仿宋" w:hAnsi="仿宋" w:eastAsia="仿宋" w:cs="仿宋"/>
          <w:kern w:val="2"/>
          <w:sz w:val="28"/>
          <w:szCs w:val="28"/>
          <w:highlight w:val="none"/>
          <w:shd w:val="clear" w:color="auto" w:fill="auto"/>
          <w:lang w:val="en-US" w:eastAsia="zh-CN" w:bidi="ar-SA"/>
        </w:rPr>
      </w:pPr>
      <w:r>
        <w:rPr>
          <w:rFonts w:hint="default" w:ascii="仿宋" w:hAnsi="仿宋" w:eastAsia="仿宋" w:cs="仿宋"/>
          <w:kern w:val="2"/>
          <w:sz w:val="28"/>
          <w:szCs w:val="28"/>
          <w:highlight w:val="none"/>
          <w:shd w:val="clear" w:color="auto" w:fill="auto"/>
          <w:lang w:val="en-US" w:eastAsia="zh-CN" w:bidi="ar-SA"/>
        </w:rPr>
        <w:t>【注：根据先进先出的原则，以投资者证券账户为单位计算持股期限，持股1个月（含1个月）以内，每10股补缴税款</w:t>
      </w:r>
      <w:r>
        <w:rPr>
          <w:rFonts w:hint="eastAsia" w:ascii="仿宋" w:hAnsi="仿宋" w:eastAsia="仿宋" w:cs="仿宋"/>
          <w:kern w:val="2"/>
          <w:sz w:val="28"/>
          <w:szCs w:val="28"/>
          <w:highlight w:val="none"/>
          <w:shd w:val="clear" w:color="auto" w:fill="auto"/>
          <w:lang w:val="en-US" w:eastAsia="zh-CN" w:bidi="ar-SA"/>
        </w:rPr>
        <w:t>0.04</w:t>
      </w:r>
      <w:r>
        <w:rPr>
          <w:rFonts w:hint="default" w:ascii="仿宋" w:hAnsi="仿宋" w:eastAsia="仿宋" w:cs="仿宋"/>
          <w:kern w:val="2"/>
          <w:sz w:val="28"/>
          <w:szCs w:val="28"/>
          <w:highlight w:val="none"/>
          <w:shd w:val="clear" w:color="auto" w:fill="auto"/>
          <w:lang w:val="en-US" w:eastAsia="zh-CN" w:bidi="ar-SA"/>
        </w:rPr>
        <w:t>元；持股1个月以上至1年（含1年）的，每10股补缴税款</w:t>
      </w:r>
      <w:r>
        <w:rPr>
          <w:rFonts w:hint="eastAsia" w:ascii="仿宋" w:hAnsi="仿宋" w:eastAsia="仿宋" w:cs="仿宋"/>
          <w:kern w:val="2"/>
          <w:sz w:val="28"/>
          <w:szCs w:val="28"/>
          <w:highlight w:val="none"/>
          <w:shd w:val="clear" w:color="auto" w:fill="auto"/>
          <w:lang w:val="en-US" w:eastAsia="zh-CN" w:bidi="ar-SA"/>
        </w:rPr>
        <w:t>0.02</w:t>
      </w:r>
      <w:r>
        <w:rPr>
          <w:rFonts w:hint="default" w:ascii="仿宋" w:hAnsi="仿宋" w:eastAsia="仿宋" w:cs="仿宋"/>
          <w:kern w:val="2"/>
          <w:sz w:val="28"/>
          <w:szCs w:val="28"/>
          <w:highlight w:val="none"/>
          <w:shd w:val="clear" w:color="auto" w:fill="auto"/>
          <w:lang w:val="en-US" w:eastAsia="zh-CN" w:bidi="ar-SA"/>
        </w:rPr>
        <w:t>元；持股超过1年的，不需补缴税款。】</w:t>
      </w:r>
    </w:p>
    <w:p w14:paraId="4E233BD1">
      <w:pPr>
        <w:keepNext w:val="0"/>
        <w:keepLines w:val="0"/>
        <w:widowControl/>
        <w:numPr>
          <w:ilvl w:val="0"/>
          <w:numId w:val="1"/>
        </w:numPr>
        <w:suppressLineNumbers w:val="0"/>
        <w:ind w:firstLine="562" w:firstLineChars="200"/>
        <w:jc w:val="both"/>
        <w:rPr>
          <w:rFonts w:hint="default" w:ascii="仿宋" w:hAnsi="仿宋" w:eastAsia="仿宋" w:cs="仿宋"/>
          <w:b/>
          <w:bCs/>
          <w:kern w:val="2"/>
          <w:sz w:val="28"/>
          <w:szCs w:val="28"/>
          <w:shd w:val="clear" w:color="auto" w:fill="auto"/>
          <w:lang w:val="en-US" w:eastAsia="zh-CN" w:bidi="ar-SA"/>
        </w:rPr>
      </w:pPr>
      <w:r>
        <w:rPr>
          <w:rFonts w:hint="default" w:ascii="仿宋" w:hAnsi="仿宋" w:eastAsia="仿宋" w:cs="仿宋"/>
          <w:b/>
          <w:bCs/>
          <w:kern w:val="2"/>
          <w:sz w:val="28"/>
          <w:szCs w:val="28"/>
          <w:shd w:val="clear" w:color="auto" w:fill="auto"/>
          <w:lang w:val="en-US" w:eastAsia="zh-CN" w:bidi="ar-SA"/>
        </w:rPr>
        <w:t>分红派息日</w:t>
      </w:r>
      <w:r>
        <w:rPr>
          <w:rFonts w:hint="eastAsia" w:ascii="仿宋" w:hAnsi="仿宋" w:eastAsia="仿宋" w:cs="仿宋"/>
          <w:b/>
          <w:bCs/>
          <w:kern w:val="2"/>
          <w:sz w:val="28"/>
          <w:szCs w:val="28"/>
          <w:shd w:val="clear" w:color="auto" w:fill="auto"/>
          <w:lang w:val="en-US" w:eastAsia="zh-CN" w:bidi="ar-SA"/>
        </w:rPr>
        <w:t>期</w:t>
      </w:r>
    </w:p>
    <w:p w14:paraId="3FDD28AD">
      <w:pPr>
        <w:keepNext w:val="0"/>
        <w:keepLines w:val="0"/>
        <w:widowControl/>
        <w:numPr>
          <w:ilvl w:val="0"/>
          <w:numId w:val="0"/>
        </w:numPr>
        <w:suppressLineNumbers w:val="0"/>
        <w:shd w:val="clear"/>
        <w:ind w:firstLine="560" w:firstLineChars="200"/>
        <w:jc w:val="both"/>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1.</w:t>
      </w:r>
      <w:r>
        <w:rPr>
          <w:rFonts w:hint="default" w:ascii="仿宋" w:hAnsi="仿宋" w:eastAsia="仿宋" w:cs="仿宋"/>
          <w:kern w:val="2"/>
          <w:sz w:val="28"/>
          <w:szCs w:val="28"/>
          <w:shd w:val="clear" w:color="auto" w:fill="auto"/>
          <w:lang w:val="en-US" w:eastAsia="zh-CN" w:bidi="ar-SA"/>
        </w:rPr>
        <w:t>股权登记日：202</w:t>
      </w:r>
      <w:r>
        <w:rPr>
          <w:rFonts w:hint="eastAsia" w:ascii="仿宋" w:hAnsi="仿宋" w:eastAsia="仿宋" w:cs="仿宋"/>
          <w:kern w:val="2"/>
          <w:sz w:val="28"/>
          <w:szCs w:val="28"/>
          <w:shd w:val="clear" w:color="auto" w:fill="auto"/>
          <w:lang w:val="en-US" w:eastAsia="zh-CN" w:bidi="ar-SA"/>
        </w:rPr>
        <w:t>5</w:t>
      </w:r>
      <w:r>
        <w:rPr>
          <w:rFonts w:hint="default" w:ascii="仿宋" w:hAnsi="仿宋" w:eastAsia="仿宋" w:cs="仿宋"/>
          <w:kern w:val="2"/>
          <w:sz w:val="28"/>
          <w:szCs w:val="28"/>
          <w:shd w:val="clear" w:color="auto" w:fill="auto"/>
          <w:lang w:val="en-US" w:eastAsia="zh-CN" w:bidi="ar-SA"/>
        </w:rPr>
        <w:t>年</w:t>
      </w:r>
      <w:r>
        <w:rPr>
          <w:rFonts w:hint="eastAsia" w:ascii="仿宋" w:hAnsi="仿宋" w:eastAsia="仿宋" w:cs="仿宋"/>
          <w:kern w:val="2"/>
          <w:sz w:val="28"/>
          <w:szCs w:val="28"/>
          <w:shd w:val="clear" w:color="auto" w:fill="auto"/>
          <w:lang w:val="en-US" w:eastAsia="zh-CN" w:bidi="ar-SA"/>
        </w:rPr>
        <w:t>9</w:t>
      </w:r>
      <w:r>
        <w:rPr>
          <w:rFonts w:hint="default" w:ascii="仿宋" w:hAnsi="仿宋" w:eastAsia="仿宋" w:cs="仿宋"/>
          <w:kern w:val="2"/>
          <w:sz w:val="28"/>
          <w:szCs w:val="28"/>
          <w:shd w:val="clear" w:color="auto" w:fill="auto"/>
          <w:lang w:val="en-US" w:eastAsia="zh-CN" w:bidi="ar-SA"/>
        </w:rPr>
        <w:t>月</w:t>
      </w:r>
      <w:r>
        <w:rPr>
          <w:rFonts w:hint="eastAsia" w:ascii="仿宋" w:hAnsi="仿宋" w:eastAsia="仿宋" w:cs="仿宋"/>
          <w:kern w:val="2"/>
          <w:sz w:val="28"/>
          <w:szCs w:val="28"/>
          <w:shd w:val="clear" w:color="auto" w:fill="auto"/>
          <w:lang w:val="en-US" w:eastAsia="zh-CN" w:bidi="ar-SA"/>
        </w:rPr>
        <w:t>17</w:t>
      </w:r>
      <w:r>
        <w:rPr>
          <w:rFonts w:hint="default" w:ascii="仿宋" w:hAnsi="仿宋" w:eastAsia="仿宋" w:cs="仿宋"/>
          <w:kern w:val="2"/>
          <w:sz w:val="28"/>
          <w:szCs w:val="28"/>
          <w:shd w:val="clear" w:color="auto" w:fill="auto"/>
          <w:lang w:val="en-US" w:eastAsia="zh-CN" w:bidi="ar-SA"/>
        </w:rPr>
        <w:t>日</w:t>
      </w:r>
    </w:p>
    <w:p w14:paraId="5E2D25D3">
      <w:pPr>
        <w:keepNext w:val="0"/>
        <w:keepLines w:val="0"/>
        <w:widowControl/>
        <w:numPr>
          <w:ilvl w:val="0"/>
          <w:numId w:val="0"/>
        </w:numPr>
        <w:suppressLineNumbers w:val="0"/>
        <w:shd w:val="clear"/>
        <w:ind w:firstLine="560" w:firstLineChars="200"/>
        <w:jc w:val="both"/>
        <w:rPr>
          <w:rFonts w:hint="default"/>
          <w:lang w:val="en-US" w:eastAsia="zh-CN"/>
        </w:rPr>
      </w:pPr>
      <w:r>
        <w:rPr>
          <w:rFonts w:hint="default" w:ascii="仿宋" w:hAnsi="仿宋" w:eastAsia="仿宋" w:cs="仿宋"/>
          <w:kern w:val="2"/>
          <w:sz w:val="28"/>
          <w:szCs w:val="28"/>
          <w:shd w:val="clear" w:color="auto" w:fill="auto"/>
          <w:lang w:val="en-US" w:eastAsia="zh-CN" w:bidi="ar-SA"/>
        </w:rPr>
        <w:t>2.除权除息日：</w:t>
      </w:r>
      <w:r>
        <w:rPr>
          <w:rFonts w:hint="default" w:ascii="仿宋" w:hAnsi="仿宋" w:eastAsia="仿宋" w:cs="仿宋"/>
          <w:kern w:val="2"/>
          <w:sz w:val="28"/>
          <w:szCs w:val="28"/>
          <w:highlight w:val="none"/>
          <w:shd w:val="clear" w:color="auto" w:fill="auto"/>
          <w:lang w:val="en-US" w:eastAsia="zh-CN" w:bidi="ar-SA"/>
        </w:rPr>
        <w:t>202</w:t>
      </w:r>
      <w:r>
        <w:rPr>
          <w:rFonts w:hint="eastAsia" w:ascii="仿宋" w:hAnsi="仿宋" w:eastAsia="仿宋" w:cs="仿宋"/>
          <w:kern w:val="2"/>
          <w:sz w:val="28"/>
          <w:szCs w:val="28"/>
          <w:highlight w:val="none"/>
          <w:shd w:val="clear" w:color="auto" w:fill="auto"/>
          <w:lang w:val="en-US" w:eastAsia="zh-CN" w:bidi="ar-SA"/>
        </w:rPr>
        <w:t>5</w:t>
      </w:r>
      <w:r>
        <w:rPr>
          <w:rFonts w:hint="default" w:ascii="仿宋" w:hAnsi="仿宋" w:eastAsia="仿宋" w:cs="仿宋"/>
          <w:kern w:val="2"/>
          <w:sz w:val="28"/>
          <w:szCs w:val="28"/>
          <w:highlight w:val="none"/>
          <w:shd w:val="clear" w:color="auto" w:fill="auto"/>
          <w:lang w:val="en-US" w:eastAsia="zh-CN" w:bidi="ar-SA"/>
        </w:rPr>
        <w:t>年</w:t>
      </w:r>
      <w:r>
        <w:rPr>
          <w:rFonts w:hint="eastAsia" w:ascii="仿宋" w:hAnsi="仿宋" w:eastAsia="仿宋" w:cs="仿宋"/>
          <w:kern w:val="2"/>
          <w:sz w:val="28"/>
          <w:szCs w:val="28"/>
          <w:highlight w:val="none"/>
          <w:shd w:val="clear" w:color="auto" w:fill="auto"/>
          <w:lang w:val="en-US" w:eastAsia="zh-CN" w:bidi="ar-SA"/>
        </w:rPr>
        <w:t>9</w:t>
      </w:r>
      <w:r>
        <w:rPr>
          <w:rFonts w:hint="default" w:ascii="仿宋" w:hAnsi="仿宋" w:eastAsia="仿宋" w:cs="仿宋"/>
          <w:kern w:val="2"/>
          <w:sz w:val="28"/>
          <w:szCs w:val="28"/>
          <w:highlight w:val="none"/>
          <w:shd w:val="clear" w:color="auto" w:fill="auto"/>
          <w:lang w:val="en-US" w:eastAsia="zh-CN" w:bidi="ar-SA"/>
        </w:rPr>
        <w:t>月</w:t>
      </w:r>
      <w:r>
        <w:rPr>
          <w:rFonts w:hint="eastAsia" w:ascii="仿宋" w:hAnsi="仿宋" w:eastAsia="仿宋" w:cs="仿宋"/>
          <w:kern w:val="2"/>
          <w:sz w:val="28"/>
          <w:szCs w:val="28"/>
          <w:highlight w:val="none"/>
          <w:shd w:val="clear" w:color="auto" w:fill="auto"/>
          <w:lang w:val="en-US" w:eastAsia="zh-CN" w:bidi="ar-SA"/>
        </w:rPr>
        <w:t>18</w:t>
      </w:r>
      <w:r>
        <w:rPr>
          <w:rFonts w:hint="default" w:ascii="仿宋" w:hAnsi="仿宋" w:eastAsia="仿宋" w:cs="仿宋"/>
          <w:kern w:val="2"/>
          <w:sz w:val="28"/>
          <w:szCs w:val="28"/>
          <w:highlight w:val="none"/>
          <w:shd w:val="clear" w:color="auto" w:fill="auto"/>
          <w:lang w:val="en-US" w:eastAsia="zh-CN" w:bidi="ar-SA"/>
        </w:rPr>
        <w:t>日</w:t>
      </w:r>
    </w:p>
    <w:p w14:paraId="4F2C896E">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firstLine="562" w:firstLineChars="200"/>
        <w:jc w:val="both"/>
        <w:textAlignment w:val="auto"/>
        <w:rPr>
          <w:rFonts w:hint="default" w:ascii="仿宋" w:hAnsi="仿宋" w:eastAsia="仿宋" w:cs="仿宋"/>
          <w:b/>
          <w:bCs/>
          <w:kern w:val="2"/>
          <w:sz w:val="28"/>
          <w:szCs w:val="28"/>
          <w:shd w:val="clear" w:color="auto" w:fill="auto"/>
          <w:lang w:val="en-US" w:eastAsia="zh-CN" w:bidi="ar-SA"/>
        </w:rPr>
      </w:pPr>
      <w:r>
        <w:rPr>
          <w:rFonts w:hint="default" w:ascii="仿宋" w:hAnsi="仿宋" w:eastAsia="仿宋" w:cs="仿宋"/>
          <w:b/>
          <w:bCs/>
          <w:kern w:val="2"/>
          <w:sz w:val="28"/>
          <w:szCs w:val="28"/>
          <w:shd w:val="clear" w:color="auto" w:fill="auto"/>
          <w:lang w:val="en-US" w:eastAsia="zh-CN" w:bidi="ar-SA"/>
        </w:rPr>
        <w:t>四、分红派息对象</w:t>
      </w:r>
    </w:p>
    <w:p w14:paraId="1715936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600" w:lineRule="exact"/>
        <w:ind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default" w:ascii="仿宋" w:hAnsi="仿宋" w:eastAsia="仿宋" w:cs="仿宋"/>
          <w:kern w:val="2"/>
          <w:sz w:val="28"/>
          <w:szCs w:val="28"/>
          <w:shd w:val="clear" w:color="auto" w:fill="auto"/>
          <w:lang w:val="en-US" w:eastAsia="zh-CN" w:bidi="ar-SA"/>
        </w:rPr>
        <w:t>本次</w:t>
      </w:r>
      <w:r>
        <w:rPr>
          <w:rFonts w:hint="eastAsia" w:ascii="仿宋" w:hAnsi="仿宋" w:eastAsia="仿宋" w:cs="仿宋"/>
          <w:kern w:val="2"/>
          <w:sz w:val="28"/>
          <w:szCs w:val="28"/>
          <w:shd w:val="clear" w:color="auto" w:fill="auto"/>
          <w:lang w:val="en-US" w:eastAsia="zh-CN" w:bidi="ar-SA"/>
        </w:rPr>
        <w:t>分红派息</w:t>
      </w:r>
      <w:r>
        <w:rPr>
          <w:rFonts w:hint="default" w:ascii="仿宋" w:hAnsi="仿宋" w:eastAsia="仿宋" w:cs="仿宋"/>
          <w:kern w:val="2"/>
          <w:sz w:val="28"/>
          <w:szCs w:val="28"/>
          <w:shd w:val="clear" w:color="auto" w:fill="auto"/>
          <w:lang w:val="en-US" w:eastAsia="zh-CN" w:bidi="ar-SA"/>
        </w:rPr>
        <w:t>对象为：</w:t>
      </w:r>
      <w:r>
        <w:rPr>
          <w:rFonts w:hint="eastAsia" w:ascii="仿宋" w:hAnsi="仿宋" w:eastAsia="仿宋" w:cs="仿宋"/>
          <w:kern w:val="2"/>
          <w:sz w:val="28"/>
          <w:szCs w:val="28"/>
          <w:shd w:val="clear" w:color="auto" w:fill="auto"/>
          <w:lang w:val="en-US" w:eastAsia="zh-CN" w:bidi="ar-SA"/>
        </w:rPr>
        <w:t>截至2025</w:t>
      </w:r>
      <w:r>
        <w:rPr>
          <w:rFonts w:hint="default" w:ascii="仿宋" w:hAnsi="仿宋" w:eastAsia="仿宋" w:cs="仿宋"/>
          <w:kern w:val="2"/>
          <w:sz w:val="28"/>
          <w:szCs w:val="28"/>
          <w:shd w:val="clear" w:color="auto" w:fill="auto"/>
          <w:lang w:val="en-US" w:eastAsia="zh-CN" w:bidi="ar-SA"/>
        </w:rPr>
        <w:t>年</w:t>
      </w:r>
      <w:r>
        <w:rPr>
          <w:rFonts w:hint="eastAsia" w:ascii="仿宋" w:hAnsi="仿宋" w:eastAsia="仿宋" w:cs="仿宋"/>
          <w:kern w:val="2"/>
          <w:sz w:val="28"/>
          <w:szCs w:val="28"/>
          <w:shd w:val="clear" w:color="auto" w:fill="auto"/>
          <w:lang w:val="en-US" w:eastAsia="zh-CN" w:bidi="ar-SA"/>
        </w:rPr>
        <w:t>9</w:t>
      </w:r>
      <w:r>
        <w:rPr>
          <w:rFonts w:hint="default" w:ascii="仿宋" w:hAnsi="仿宋" w:eastAsia="仿宋" w:cs="仿宋"/>
          <w:kern w:val="2"/>
          <w:sz w:val="28"/>
          <w:szCs w:val="28"/>
          <w:shd w:val="clear" w:color="auto" w:fill="auto"/>
          <w:lang w:val="en-US" w:eastAsia="zh-CN" w:bidi="ar-SA"/>
        </w:rPr>
        <w:t>月</w:t>
      </w:r>
      <w:r>
        <w:rPr>
          <w:rFonts w:hint="eastAsia" w:ascii="仿宋" w:hAnsi="仿宋" w:eastAsia="仿宋" w:cs="仿宋"/>
          <w:kern w:val="2"/>
          <w:sz w:val="28"/>
          <w:szCs w:val="28"/>
          <w:shd w:val="clear" w:color="auto" w:fill="auto"/>
          <w:lang w:val="en-US" w:eastAsia="zh-CN" w:bidi="ar-SA"/>
        </w:rPr>
        <w:t>17</w:t>
      </w:r>
      <w:r>
        <w:rPr>
          <w:rFonts w:hint="default" w:ascii="仿宋" w:hAnsi="仿宋" w:eastAsia="仿宋" w:cs="仿宋"/>
          <w:kern w:val="2"/>
          <w:sz w:val="28"/>
          <w:szCs w:val="28"/>
          <w:shd w:val="clear" w:color="auto" w:fill="auto"/>
          <w:lang w:val="en-US" w:eastAsia="zh-CN" w:bidi="ar-SA"/>
        </w:rPr>
        <w:t>日下午深圳证券交易所收市后，在中国证券登记结算有限责任公司深圳分公司（以下简称“中国结算深圳分公司”）登记在册的本公司全体股东。</w:t>
      </w:r>
    </w:p>
    <w:p w14:paraId="124D8BA8">
      <w:pPr>
        <w:keepNext w:val="0"/>
        <w:keepLines w:val="0"/>
        <w:widowControl/>
        <w:numPr>
          <w:ilvl w:val="0"/>
          <w:numId w:val="0"/>
        </w:numPr>
        <w:suppressLineNumbers w:val="0"/>
        <w:ind w:firstLine="562" w:firstLineChars="200"/>
        <w:jc w:val="both"/>
        <w:rPr>
          <w:rFonts w:hint="default" w:ascii="仿宋" w:hAnsi="仿宋" w:eastAsia="仿宋" w:cs="仿宋"/>
          <w:b/>
          <w:bCs/>
          <w:kern w:val="2"/>
          <w:sz w:val="28"/>
          <w:szCs w:val="28"/>
          <w:shd w:val="clear" w:color="auto" w:fill="auto"/>
          <w:lang w:val="en-US" w:eastAsia="zh-CN" w:bidi="ar-SA"/>
        </w:rPr>
      </w:pPr>
      <w:r>
        <w:rPr>
          <w:rFonts w:hint="eastAsia" w:ascii="仿宋" w:hAnsi="仿宋" w:eastAsia="仿宋" w:cs="仿宋"/>
          <w:b/>
          <w:bCs/>
          <w:kern w:val="2"/>
          <w:sz w:val="28"/>
          <w:szCs w:val="28"/>
          <w:shd w:val="clear" w:color="auto" w:fill="auto"/>
          <w:lang w:val="en-US" w:eastAsia="zh-CN" w:bidi="ar-SA"/>
        </w:rPr>
        <w:t>五、分配</w:t>
      </w:r>
      <w:r>
        <w:rPr>
          <w:rFonts w:hint="default" w:ascii="仿宋" w:hAnsi="仿宋" w:eastAsia="仿宋" w:cs="仿宋"/>
          <w:b/>
          <w:bCs/>
          <w:kern w:val="2"/>
          <w:sz w:val="28"/>
          <w:szCs w:val="28"/>
          <w:shd w:val="clear" w:color="auto" w:fill="auto"/>
          <w:lang w:val="en-US" w:eastAsia="zh-CN" w:bidi="ar-SA"/>
        </w:rPr>
        <w:t>方法</w:t>
      </w:r>
    </w:p>
    <w:p w14:paraId="4B1F9B4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600" w:lineRule="exact"/>
        <w:ind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1.</w:t>
      </w:r>
      <w:r>
        <w:rPr>
          <w:rFonts w:hint="default" w:ascii="仿宋" w:hAnsi="仿宋" w:eastAsia="仿宋" w:cs="仿宋"/>
          <w:kern w:val="2"/>
          <w:sz w:val="28"/>
          <w:szCs w:val="28"/>
          <w:shd w:val="clear" w:color="auto" w:fill="auto"/>
          <w:lang w:val="en-US" w:eastAsia="zh-CN" w:bidi="ar-SA"/>
        </w:rPr>
        <w:t>本公司此次委托中国结算深圳分公司代派的A股股东现金红利将于202</w:t>
      </w:r>
      <w:r>
        <w:rPr>
          <w:rFonts w:hint="eastAsia" w:ascii="仿宋" w:hAnsi="仿宋" w:eastAsia="仿宋" w:cs="仿宋"/>
          <w:kern w:val="2"/>
          <w:sz w:val="28"/>
          <w:szCs w:val="28"/>
          <w:shd w:val="clear" w:color="auto" w:fill="auto"/>
          <w:lang w:val="en-US" w:eastAsia="zh-CN" w:bidi="ar-SA"/>
        </w:rPr>
        <w:t>5</w:t>
      </w:r>
      <w:r>
        <w:rPr>
          <w:rFonts w:hint="default" w:ascii="仿宋" w:hAnsi="仿宋" w:eastAsia="仿宋" w:cs="仿宋"/>
          <w:kern w:val="2"/>
          <w:sz w:val="28"/>
          <w:szCs w:val="28"/>
          <w:shd w:val="clear" w:color="auto" w:fill="auto"/>
          <w:lang w:val="en-US" w:eastAsia="zh-CN" w:bidi="ar-SA"/>
        </w:rPr>
        <w:t>年</w:t>
      </w:r>
      <w:r>
        <w:rPr>
          <w:rFonts w:hint="eastAsia" w:ascii="仿宋" w:hAnsi="仿宋" w:eastAsia="仿宋" w:cs="仿宋"/>
          <w:kern w:val="2"/>
          <w:sz w:val="28"/>
          <w:szCs w:val="28"/>
          <w:shd w:val="clear" w:color="auto" w:fill="auto"/>
          <w:lang w:val="en-US" w:eastAsia="zh-CN" w:bidi="ar-SA"/>
        </w:rPr>
        <w:t>9</w:t>
      </w:r>
      <w:r>
        <w:rPr>
          <w:rFonts w:hint="default" w:ascii="仿宋" w:hAnsi="仿宋" w:eastAsia="仿宋" w:cs="仿宋"/>
          <w:kern w:val="2"/>
          <w:sz w:val="28"/>
          <w:szCs w:val="28"/>
          <w:shd w:val="clear" w:color="auto" w:fill="auto"/>
          <w:lang w:val="en-US" w:eastAsia="zh-CN" w:bidi="ar-SA"/>
        </w:rPr>
        <w:t>月</w:t>
      </w:r>
      <w:r>
        <w:rPr>
          <w:rFonts w:hint="eastAsia" w:ascii="仿宋" w:hAnsi="仿宋" w:eastAsia="仿宋" w:cs="仿宋"/>
          <w:kern w:val="2"/>
          <w:sz w:val="28"/>
          <w:szCs w:val="28"/>
          <w:shd w:val="clear" w:color="auto" w:fill="auto"/>
          <w:lang w:val="en-US" w:eastAsia="zh-CN" w:bidi="ar-SA"/>
        </w:rPr>
        <w:t>18</w:t>
      </w:r>
      <w:r>
        <w:rPr>
          <w:rFonts w:hint="default" w:ascii="仿宋" w:hAnsi="仿宋" w:eastAsia="仿宋" w:cs="仿宋"/>
          <w:kern w:val="2"/>
          <w:sz w:val="28"/>
          <w:szCs w:val="28"/>
          <w:shd w:val="clear" w:color="auto" w:fill="auto"/>
          <w:lang w:val="en-US" w:eastAsia="zh-CN" w:bidi="ar-SA"/>
        </w:rPr>
        <w:t>日通过股东托管证券公司（或其他托管机构）直接划入其资金账户。</w:t>
      </w:r>
    </w:p>
    <w:p w14:paraId="35876FF8">
      <w:pPr>
        <w:keepNext w:val="0"/>
        <w:keepLines w:val="0"/>
        <w:widowControl/>
        <w:numPr>
          <w:ilvl w:val="0"/>
          <w:numId w:val="0"/>
        </w:numPr>
        <w:suppressLineNumbers w:val="0"/>
        <w:ind w:firstLine="560" w:firstLineChars="200"/>
        <w:jc w:val="both"/>
        <w:rPr>
          <w:rFonts w:hint="default" w:ascii="仿宋" w:hAnsi="仿宋" w:eastAsia="仿宋" w:cs="仿宋"/>
          <w:kern w:val="2"/>
          <w:sz w:val="28"/>
          <w:szCs w:val="28"/>
          <w:shd w:val="clear" w:color="auto" w:fill="auto"/>
          <w:lang w:val="en-US" w:eastAsia="zh-CN" w:bidi="ar-SA"/>
        </w:rPr>
      </w:pPr>
      <w:r>
        <w:rPr>
          <w:rFonts w:hint="default" w:ascii="仿宋" w:hAnsi="仿宋" w:eastAsia="仿宋" w:cs="仿宋"/>
          <w:kern w:val="2"/>
          <w:sz w:val="28"/>
          <w:szCs w:val="28"/>
          <w:shd w:val="clear" w:color="auto" w:fill="auto"/>
          <w:lang w:val="en-US" w:eastAsia="zh-CN" w:bidi="ar-SA"/>
        </w:rPr>
        <w:t>2</w:t>
      </w:r>
      <w:bookmarkStart w:id="0" w:name="_GoBack"/>
      <w:bookmarkEnd w:id="0"/>
      <w:r>
        <w:rPr>
          <w:rFonts w:hint="eastAsia" w:ascii="仿宋" w:hAnsi="仿宋" w:eastAsia="仿宋" w:cs="仿宋"/>
          <w:kern w:val="2"/>
          <w:sz w:val="28"/>
          <w:szCs w:val="28"/>
          <w:shd w:val="clear" w:color="auto" w:fill="auto"/>
          <w:lang w:val="en-US" w:eastAsia="zh-CN" w:bidi="ar-SA"/>
        </w:rPr>
        <w:t>.</w:t>
      </w:r>
      <w:r>
        <w:rPr>
          <w:rFonts w:hint="default" w:ascii="仿宋" w:hAnsi="仿宋" w:eastAsia="仿宋" w:cs="仿宋"/>
          <w:kern w:val="2"/>
          <w:sz w:val="28"/>
          <w:szCs w:val="28"/>
          <w:shd w:val="clear" w:color="auto" w:fill="auto"/>
          <w:lang w:val="en-US" w:eastAsia="zh-CN" w:bidi="ar-SA"/>
        </w:rPr>
        <w:t>以下股东的现金红利由本公司自行派发：</w:t>
      </w:r>
    </w:p>
    <w:tbl>
      <w:tblPr>
        <w:tblStyle w:val="10"/>
        <w:tblW w:w="8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3"/>
        <w:gridCol w:w="2604"/>
        <w:gridCol w:w="4572"/>
      </w:tblGrid>
      <w:tr w14:paraId="4B844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14:paraId="42D48279">
            <w:pPr>
              <w:pStyle w:val="8"/>
              <w:ind w:left="0" w:leftChars="0" w:firstLine="0" w:firstLineChars="0"/>
              <w:jc w:val="center"/>
              <w:rPr>
                <w:rFonts w:hint="eastAsia" w:ascii="仿宋" w:hAnsi="仿宋" w:eastAsia="仿宋" w:cs="仿宋"/>
                <w:kern w:val="2"/>
                <w:sz w:val="24"/>
                <w:szCs w:val="24"/>
                <w:shd w:val="clear" w:color="auto" w:fill="auto"/>
                <w:lang w:val="en-US" w:eastAsia="zh-CN" w:bidi="ar-SA"/>
              </w:rPr>
            </w:pPr>
            <w:r>
              <w:rPr>
                <w:rFonts w:hint="eastAsia" w:ascii="仿宋" w:hAnsi="仿宋" w:eastAsia="仿宋" w:cs="仿宋"/>
                <w:kern w:val="2"/>
                <w:sz w:val="24"/>
                <w:szCs w:val="24"/>
                <w:shd w:val="clear" w:color="auto" w:fill="auto"/>
                <w:lang w:val="en-US" w:eastAsia="zh-CN" w:bidi="ar-SA"/>
              </w:rPr>
              <w:t>序号</w:t>
            </w:r>
          </w:p>
        </w:tc>
        <w:tc>
          <w:tcPr>
            <w:tcW w:w="2604" w:type="dxa"/>
            <w:vAlign w:val="center"/>
          </w:tcPr>
          <w:p w14:paraId="2D3C2877">
            <w:pPr>
              <w:pStyle w:val="8"/>
              <w:ind w:left="0" w:leftChars="0" w:firstLine="0" w:firstLineChars="0"/>
              <w:jc w:val="center"/>
              <w:rPr>
                <w:rFonts w:hint="default" w:ascii="仿宋" w:hAnsi="仿宋" w:eastAsia="仿宋" w:cs="仿宋"/>
                <w:kern w:val="2"/>
                <w:sz w:val="24"/>
                <w:szCs w:val="24"/>
                <w:shd w:val="clear" w:color="auto" w:fill="auto"/>
                <w:lang w:val="en-US" w:eastAsia="zh-CN" w:bidi="ar-SA"/>
              </w:rPr>
            </w:pPr>
            <w:r>
              <w:rPr>
                <w:rFonts w:hint="eastAsia" w:ascii="仿宋" w:hAnsi="仿宋" w:eastAsia="仿宋" w:cs="仿宋"/>
                <w:kern w:val="2"/>
                <w:sz w:val="24"/>
                <w:szCs w:val="24"/>
                <w:shd w:val="clear" w:color="auto" w:fill="auto"/>
                <w:lang w:val="en-US" w:eastAsia="zh-CN" w:bidi="ar-SA"/>
              </w:rPr>
              <w:t>股东账号</w:t>
            </w:r>
          </w:p>
        </w:tc>
        <w:tc>
          <w:tcPr>
            <w:tcW w:w="4572" w:type="dxa"/>
            <w:vAlign w:val="center"/>
          </w:tcPr>
          <w:p w14:paraId="510CEC6B">
            <w:pPr>
              <w:pStyle w:val="8"/>
              <w:ind w:left="0" w:leftChars="0" w:firstLine="0" w:firstLineChars="0"/>
              <w:jc w:val="center"/>
              <w:rPr>
                <w:rFonts w:hint="eastAsia" w:ascii="仿宋" w:hAnsi="仿宋" w:eastAsia="仿宋" w:cs="仿宋"/>
                <w:kern w:val="2"/>
                <w:sz w:val="24"/>
                <w:szCs w:val="24"/>
                <w:shd w:val="clear" w:color="auto" w:fill="auto"/>
                <w:lang w:val="en-US" w:eastAsia="zh-CN" w:bidi="ar-SA"/>
              </w:rPr>
            </w:pPr>
            <w:r>
              <w:rPr>
                <w:rFonts w:hint="eastAsia" w:ascii="仿宋" w:hAnsi="仿宋" w:eastAsia="仿宋" w:cs="仿宋"/>
                <w:kern w:val="2"/>
                <w:sz w:val="24"/>
                <w:szCs w:val="24"/>
                <w:shd w:val="clear" w:color="auto" w:fill="auto"/>
                <w:lang w:val="en-US" w:eastAsia="zh-CN" w:bidi="ar-SA"/>
              </w:rPr>
              <w:t>股东名称</w:t>
            </w:r>
          </w:p>
        </w:tc>
      </w:tr>
      <w:tr w14:paraId="25115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14:paraId="064FF831">
            <w:pPr>
              <w:pStyle w:val="8"/>
              <w:ind w:left="0" w:leftChars="0" w:firstLine="0" w:firstLineChars="0"/>
              <w:jc w:val="center"/>
              <w:rPr>
                <w:rFonts w:hint="eastAsia" w:ascii="仿宋" w:hAnsi="仿宋" w:eastAsia="仿宋" w:cs="仿宋"/>
                <w:kern w:val="2"/>
                <w:sz w:val="24"/>
                <w:szCs w:val="24"/>
                <w:shd w:val="clear" w:color="auto" w:fill="auto"/>
                <w:lang w:val="en-US" w:eastAsia="zh-CN" w:bidi="ar-SA"/>
              </w:rPr>
            </w:pPr>
            <w:r>
              <w:rPr>
                <w:rFonts w:hint="eastAsia" w:ascii="仿宋" w:hAnsi="仿宋" w:eastAsia="仿宋" w:cs="仿宋"/>
                <w:kern w:val="2"/>
                <w:sz w:val="24"/>
                <w:szCs w:val="24"/>
                <w:shd w:val="clear" w:color="auto" w:fill="auto"/>
                <w:lang w:val="en-US" w:eastAsia="zh-CN" w:bidi="ar-SA"/>
              </w:rPr>
              <w:t>1</w:t>
            </w:r>
          </w:p>
        </w:tc>
        <w:tc>
          <w:tcPr>
            <w:tcW w:w="2604" w:type="dxa"/>
            <w:vAlign w:val="center"/>
          </w:tcPr>
          <w:p w14:paraId="28C0969B">
            <w:pPr>
              <w:pStyle w:val="8"/>
              <w:ind w:left="0" w:leftChars="0" w:firstLine="0" w:firstLineChars="0"/>
              <w:jc w:val="center"/>
              <w:rPr>
                <w:rFonts w:hint="default" w:ascii="仿宋" w:hAnsi="仿宋" w:eastAsia="仿宋" w:cs="仿宋"/>
                <w:kern w:val="2"/>
                <w:sz w:val="24"/>
                <w:szCs w:val="24"/>
                <w:shd w:val="clear" w:color="auto" w:fill="auto"/>
                <w:lang w:val="en-US" w:eastAsia="zh-CN" w:bidi="ar-SA"/>
              </w:rPr>
            </w:pPr>
            <w:r>
              <w:rPr>
                <w:rFonts w:hint="default" w:ascii="仿宋" w:hAnsi="仿宋" w:eastAsia="仿宋" w:cs="仿宋"/>
                <w:kern w:val="2"/>
                <w:sz w:val="24"/>
                <w:szCs w:val="24"/>
                <w:shd w:val="clear" w:color="auto" w:fill="auto"/>
                <w:lang w:val="en-US" w:eastAsia="zh-CN" w:bidi="ar-SA"/>
              </w:rPr>
              <w:t>0800020563</w:t>
            </w:r>
          </w:p>
        </w:tc>
        <w:tc>
          <w:tcPr>
            <w:tcW w:w="4572" w:type="dxa"/>
            <w:vAlign w:val="center"/>
          </w:tcPr>
          <w:p w14:paraId="2356FD7F">
            <w:pPr>
              <w:pStyle w:val="8"/>
              <w:ind w:left="0" w:leftChars="0" w:firstLine="0" w:firstLineChars="0"/>
              <w:jc w:val="center"/>
              <w:rPr>
                <w:rFonts w:hint="default" w:ascii="仿宋" w:hAnsi="仿宋" w:eastAsia="仿宋" w:cs="仿宋"/>
                <w:kern w:val="2"/>
                <w:sz w:val="24"/>
                <w:szCs w:val="24"/>
                <w:shd w:val="clear" w:color="auto" w:fill="auto"/>
                <w:lang w:val="en-US" w:eastAsia="zh-CN" w:bidi="ar-SA"/>
              </w:rPr>
            </w:pPr>
            <w:r>
              <w:rPr>
                <w:rFonts w:hint="default" w:ascii="仿宋" w:hAnsi="仿宋" w:eastAsia="仿宋" w:cs="仿宋"/>
                <w:kern w:val="2"/>
                <w:sz w:val="24"/>
                <w:szCs w:val="24"/>
                <w:shd w:val="clear" w:color="auto" w:fill="auto"/>
                <w:lang w:val="en-US" w:eastAsia="zh-CN" w:bidi="ar-SA"/>
              </w:rPr>
              <w:t>国家电投集团吉林能源投资有限公司</w:t>
            </w:r>
          </w:p>
        </w:tc>
      </w:tr>
      <w:tr w14:paraId="7C360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3" w:type="dxa"/>
            <w:vAlign w:val="center"/>
          </w:tcPr>
          <w:p w14:paraId="14E840FB">
            <w:pPr>
              <w:pStyle w:val="8"/>
              <w:ind w:left="0" w:leftChars="0" w:firstLine="0" w:firstLineChars="0"/>
              <w:jc w:val="center"/>
              <w:rPr>
                <w:rFonts w:hint="eastAsia" w:ascii="仿宋" w:hAnsi="仿宋" w:eastAsia="仿宋" w:cs="仿宋"/>
                <w:kern w:val="2"/>
                <w:sz w:val="24"/>
                <w:szCs w:val="24"/>
                <w:shd w:val="clear" w:color="auto" w:fill="auto"/>
                <w:lang w:val="en-US" w:eastAsia="zh-CN" w:bidi="ar-SA"/>
              </w:rPr>
            </w:pPr>
            <w:r>
              <w:rPr>
                <w:rFonts w:hint="eastAsia" w:ascii="仿宋" w:hAnsi="仿宋" w:eastAsia="仿宋" w:cs="仿宋"/>
                <w:kern w:val="2"/>
                <w:sz w:val="24"/>
                <w:szCs w:val="24"/>
                <w:shd w:val="clear" w:color="auto" w:fill="auto"/>
                <w:lang w:val="en-US" w:eastAsia="zh-CN" w:bidi="ar-SA"/>
              </w:rPr>
              <w:t>2</w:t>
            </w:r>
          </w:p>
        </w:tc>
        <w:tc>
          <w:tcPr>
            <w:tcW w:w="2604" w:type="dxa"/>
            <w:vAlign w:val="center"/>
          </w:tcPr>
          <w:p w14:paraId="495534D9">
            <w:pPr>
              <w:pStyle w:val="8"/>
              <w:ind w:left="0" w:leftChars="0" w:firstLine="0" w:firstLineChars="0"/>
              <w:jc w:val="center"/>
              <w:rPr>
                <w:rFonts w:hint="default" w:ascii="仿宋" w:hAnsi="仿宋" w:eastAsia="仿宋" w:cs="仿宋"/>
                <w:kern w:val="2"/>
                <w:sz w:val="24"/>
                <w:szCs w:val="24"/>
                <w:shd w:val="clear" w:color="auto" w:fill="auto"/>
                <w:lang w:val="en-US" w:eastAsia="zh-CN" w:bidi="ar-SA"/>
              </w:rPr>
            </w:pPr>
            <w:r>
              <w:rPr>
                <w:rFonts w:hint="default" w:ascii="仿宋" w:hAnsi="仿宋" w:eastAsia="仿宋" w:cs="仿宋"/>
                <w:kern w:val="2"/>
                <w:sz w:val="24"/>
                <w:szCs w:val="24"/>
                <w:shd w:val="clear" w:color="auto" w:fill="auto"/>
                <w:lang w:val="en-US" w:eastAsia="zh-CN" w:bidi="ar-SA"/>
              </w:rPr>
              <w:t>0800023739</w:t>
            </w:r>
          </w:p>
        </w:tc>
        <w:tc>
          <w:tcPr>
            <w:tcW w:w="4572" w:type="dxa"/>
            <w:vAlign w:val="center"/>
          </w:tcPr>
          <w:p w14:paraId="160A54C9">
            <w:pPr>
              <w:pStyle w:val="8"/>
              <w:ind w:left="0" w:leftChars="0" w:firstLine="0" w:firstLineChars="0"/>
              <w:jc w:val="center"/>
              <w:rPr>
                <w:rFonts w:hint="default" w:ascii="仿宋" w:hAnsi="仿宋" w:eastAsia="仿宋" w:cs="仿宋"/>
                <w:kern w:val="2"/>
                <w:sz w:val="24"/>
                <w:szCs w:val="24"/>
                <w:shd w:val="clear" w:color="auto" w:fill="auto"/>
                <w:lang w:val="en-US" w:eastAsia="zh-CN" w:bidi="ar-SA"/>
              </w:rPr>
            </w:pPr>
            <w:r>
              <w:rPr>
                <w:rFonts w:hint="default" w:ascii="仿宋" w:hAnsi="仿宋" w:eastAsia="仿宋" w:cs="仿宋"/>
                <w:kern w:val="2"/>
                <w:sz w:val="24"/>
                <w:szCs w:val="24"/>
                <w:shd w:val="clear" w:color="auto" w:fill="auto"/>
                <w:lang w:val="en-US" w:eastAsia="zh-CN" w:bidi="ar-SA"/>
              </w:rPr>
              <w:t>国家电力投资集团有限公司</w:t>
            </w:r>
          </w:p>
        </w:tc>
      </w:tr>
    </w:tbl>
    <w:p w14:paraId="71A472F3">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eastAsia" w:ascii="仿宋" w:hAnsi="仿宋" w:eastAsia="仿宋" w:cs="仿宋"/>
          <w:b w:val="0"/>
          <w:bCs w:val="0"/>
          <w:kern w:val="2"/>
          <w:sz w:val="28"/>
          <w:szCs w:val="28"/>
          <w:shd w:val="clear" w:color="auto" w:fill="auto"/>
          <w:lang w:val="en-US" w:eastAsia="zh-CN" w:bidi="ar-SA"/>
        </w:rPr>
      </w:pPr>
      <w:r>
        <w:rPr>
          <w:rFonts w:hint="eastAsia" w:ascii="仿宋" w:hAnsi="仿宋" w:eastAsia="仿宋" w:cs="仿宋"/>
          <w:b w:val="0"/>
          <w:bCs w:val="0"/>
          <w:kern w:val="2"/>
          <w:sz w:val="28"/>
          <w:szCs w:val="28"/>
          <w:shd w:val="clear" w:color="auto" w:fill="auto"/>
          <w:lang w:val="en-US" w:eastAsia="zh-CN" w:bidi="ar-SA"/>
        </w:rPr>
        <w:t>在权益分派业务申请期间（申请日2025年9月10日至股权登记日2025年9月17日），如因自派股东证券账户内股份减少而导致委托中国结算深圳分公司代派的现金红利不足的，一切法律责任与后果由我公司自行承担。</w:t>
      </w:r>
    </w:p>
    <w:p w14:paraId="55507037">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2" w:firstLineChars="200"/>
        <w:jc w:val="both"/>
        <w:textAlignment w:val="auto"/>
        <w:rPr>
          <w:rFonts w:hint="default" w:ascii="仿宋" w:hAnsi="仿宋" w:eastAsia="仿宋" w:cs="仿宋"/>
          <w:b/>
          <w:bCs/>
          <w:kern w:val="2"/>
          <w:sz w:val="28"/>
          <w:szCs w:val="28"/>
          <w:shd w:val="clear" w:color="auto" w:fill="auto"/>
          <w:lang w:val="en-US" w:eastAsia="zh-CN" w:bidi="ar-SA"/>
        </w:rPr>
      </w:pPr>
      <w:r>
        <w:rPr>
          <w:rFonts w:hint="eastAsia" w:ascii="仿宋" w:hAnsi="仿宋" w:eastAsia="仿宋" w:cs="仿宋"/>
          <w:b/>
          <w:bCs/>
          <w:kern w:val="2"/>
          <w:sz w:val="28"/>
          <w:szCs w:val="28"/>
          <w:shd w:val="clear" w:color="auto" w:fill="auto"/>
          <w:lang w:val="en-US" w:eastAsia="zh-CN" w:bidi="ar-SA"/>
        </w:rPr>
        <w:t>六、</w:t>
      </w:r>
      <w:r>
        <w:rPr>
          <w:rFonts w:hint="default" w:ascii="仿宋" w:hAnsi="仿宋" w:eastAsia="仿宋" w:cs="仿宋"/>
          <w:b/>
          <w:bCs/>
          <w:kern w:val="2"/>
          <w:sz w:val="28"/>
          <w:szCs w:val="28"/>
          <w:shd w:val="clear" w:color="auto" w:fill="auto"/>
          <w:lang w:val="en-US" w:eastAsia="zh-CN" w:bidi="ar-SA"/>
        </w:rPr>
        <w:t>有关咨询</w:t>
      </w:r>
      <w:r>
        <w:rPr>
          <w:rFonts w:hint="eastAsia" w:ascii="仿宋" w:hAnsi="仿宋" w:eastAsia="仿宋" w:cs="仿宋"/>
          <w:b/>
          <w:bCs/>
          <w:kern w:val="2"/>
          <w:sz w:val="28"/>
          <w:szCs w:val="28"/>
          <w:shd w:val="clear" w:color="auto" w:fill="auto"/>
          <w:lang w:val="en-US" w:eastAsia="zh-CN" w:bidi="ar-SA"/>
        </w:rPr>
        <w:t>方</w:t>
      </w:r>
      <w:r>
        <w:rPr>
          <w:rFonts w:hint="default" w:ascii="仿宋" w:hAnsi="仿宋" w:eastAsia="仿宋" w:cs="仿宋"/>
          <w:b/>
          <w:bCs/>
          <w:kern w:val="2"/>
          <w:sz w:val="28"/>
          <w:szCs w:val="28"/>
          <w:shd w:val="clear" w:color="auto" w:fill="auto"/>
          <w:lang w:val="en-US" w:eastAsia="zh-CN" w:bidi="ar-SA"/>
        </w:rPr>
        <w:t>法</w:t>
      </w:r>
    </w:p>
    <w:p w14:paraId="33745F5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咨询部门：吉林电力股份有限公司资本运营部</w:t>
      </w:r>
    </w:p>
    <w:p w14:paraId="04F36B03">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咨询</w:t>
      </w:r>
      <w:r>
        <w:rPr>
          <w:rFonts w:hint="default" w:ascii="仿宋" w:hAnsi="仿宋" w:eastAsia="仿宋" w:cs="仿宋"/>
          <w:kern w:val="2"/>
          <w:sz w:val="28"/>
          <w:szCs w:val="28"/>
          <w:shd w:val="clear" w:color="auto" w:fill="auto"/>
          <w:lang w:val="en-US" w:eastAsia="zh-CN" w:bidi="ar-SA"/>
        </w:rPr>
        <w:t>地址：吉林省长春市人民大街 9699 号</w:t>
      </w:r>
    </w:p>
    <w:p w14:paraId="3860ED49">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咨询</w:t>
      </w:r>
      <w:r>
        <w:rPr>
          <w:rFonts w:hint="default" w:ascii="仿宋" w:hAnsi="仿宋" w:eastAsia="仿宋" w:cs="仿宋"/>
          <w:kern w:val="2"/>
          <w:sz w:val="28"/>
          <w:szCs w:val="28"/>
          <w:shd w:val="clear" w:color="auto" w:fill="auto"/>
          <w:lang w:val="en-US" w:eastAsia="zh-CN" w:bidi="ar-SA"/>
        </w:rPr>
        <w:t>联系人：高雪</w:t>
      </w:r>
    </w:p>
    <w:p w14:paraId="44FD88CC">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咨询</w:t>
      </w:r>
      <w:r>
        <w:rPr>
          <w:rFonts w:hint="default" w:ascii="仿宋" w:hAnsi="仿宋" w:eastAsia="仿宋" w:cs="仿宋"/>
          <w:kern w:val="2"/>
          <w:sz w:val="28"/>
          <w:szCs w:val="28"/>
          <w:shd w:val="clear" w:color="auto" w:fill="auto"/>
          <w:lang w:val="en-US" w:eastAsia="zh-CN" w:bidi="ar-SA"/>
        </w:rPr>
        <w:t>电话：0431—81150933</w:t>
      </w:r>
    </w:p>
    <w:p w14:paraId="22A666C6">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咨询</w:t>
      </w:r>
      <w:r>
        <w:rPr>
          <w:rFonts w:hint="default" w:ascii="仿宋" w:hAnsi="仿宋" w:eastAsia="仿宋" w:cs="仿宋"/>
          <w:kern w:val="2"/>
          <w:sz w:val="28"/>
          <w:szCs w:val="28"/>
          <w:shd w:val="clear" w:color="auto" w:fill="auto"/>
          <w:lang w:val="en-US" w:eastAsia="zh-CN" w:bidi="ar-SA"/>
        </w:rPr>
        <w:t>传真：0431—81150997</w:t>
      </w:r>
    </w:p>
    <w:p w14:paraId="48F8BF4E">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咨询</w:t>
      </w:r>
      <w:r>
        <w:rPr>
          <w:rFonts w:hint="default" w:ascii="仿宋" w:hAnsi="仿宋" w:eastAsia="仿宋" w:cs="仿宋"/>
          <w:kern w:val="2"/>
          <w:sz w:val="28"/>
          <w:szCs w:val="28"/>
          <w:shd w:val="clear" w:color="auto" w:fill="auto"/>
          <w:lang w:val="en-US" w:eastAsia="zh-CN" w:bidi="ar-SA"/>
        </w:rPr>
        <w:t xml:space="preserve">邮箱：gaoxue@spic.com.cn </w:t>
      </w:r>
    </w:p>
    <w:p w14:paraId="69D3C20A">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2" w:firstLineChars="200"/>
        <w:jc w:val="both"/>
        <w:textAlignment w:val="auto"/>
        <w:rPr>
          <w:rFonts w:hint="default" w:ascii="仿宋" w:hAnsi="仿宋" w:eastAsia="仿宋" w:cs="仿宋"/>
          <w:b/>
          <w:bCs/>
          <w:kern w:val="2"/>
          <w:sz w:val="28"/>
          <w:szCs w:val="28"/>
          <w:shd w:val="clear" w:color="auto" w:fill="auto"/>
          <w:lang w:val="en-US" w:eastAsia="zh-CN" w:bidi="ar-SA"/>
        </w:rPr>
      </w:pPr>
      <w:r>
        <w:rPr>
          <w:rFonts w:hint="eastAsia" w:ascii="仿宋" w:hAnsi="仿宋" w:eastAsia="仿宋" w:cs="仿宋"/>
          <w:b/>
          <w:bCs/>
          <w:kern w:val="2"/>
          <w:sz w:val="28"/>
          <w:szCs w:val="28"/>
          <w:shd w:val="clear" w:color="auto" w:fill="auto"/>
          <w:lang w:val="en-US" w:eastAsia="zh-CN" w:bidi="ar-SA"/>
        </w:rPr>
        <w:t>七、</w:t>
      </w:r>
      <w:r>
        <w:rPr>
          <w:rFonts w:hint="default" w:ascii="仿宋" w:hAnsi="仿宋" w:eastAsia="仿宋" w:cs="仿宋"/>
          <w:b/>
          <w:bCs/>
          <w:kern w:val="2"/>
          <w:sz w:val="28"/>
          <w:szCs w:val="28"/>
          <w:shd w:val="clear" w:color="auto" w:fill="auto"/>
          <w:lang w:val="en-US" w:eastAsia="zh-CN" w:bidi="ar-SA"/>
        </w:rPr>
        <w:t>备查文件</w:t>
      </w:r>
    </w:p>
    <w:p w14:paraId="4DAA7730">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default" w:ascii="仿宋" w:hAnsi="仿宋" w:eastAsia="仿宋" w:cs="仿宋"/>
          <w:kern w:val="2"/>
          <w:sz w:val="28"/>
          <w:szCs w:val="28"/>
          <w:shd w:val="clear" w:color="auto" w:fill="auto"/>
          <w:lang w:val="en-US" w:eastAsia="zh-CN" w:bidi="ar-SA"/>
        </w:rPr>
        <w:t>1.</w:t>
      </w:r>
      <w:r>
        <w:rPr>
          <w:rFonts w:hint="eastAsia" w:ascii="仿宋" w:hAnsi="仿宋" w:eastAsia="仿宋" w:cs="仿宋"/>
          <w:kern w:val="2"/>
          <w:sz w:val="28"/>
          <w:szCs w:val="28"/>
          <w:shd w:val="clear" w:color="auto" w:fill="auto"/>
          <w:lang w:val="en-US" w:eastAsia="zh-CN" w:bidi="ar-SA"/>
        </w:rPr>
        <w:t>公司</w:t>
      </w:r>
      <w:r>
        <w:rPr>
          <w:rFonts w:hint="default" w:ascii="仿宋" w:hAnsi="仿宋" w:eastAsia="仿宋" w:cs="仿宋"/>
          <w:kern w:val="2"/>
          <w:sz w:val="28"/>
          <w:szCs w:val="28"/>
          <w:shd w:val="clear" w:color="auto" w:fill="auto"/>
          <w:lang w:val="en-US" w:eastAsia="zh-CN" w:bidi="ar-SA"/>
        </w:rPr>
        <w:t>第</w:t>
      </w:r>
      <w:r>
        <w:rPr>
          <w:rFonts w:hint="eastAsia" w:ascii="仿宋" w:hAnsi="仿宋" w:eastAsia="仿宋" w:cs="仿宋"/>
          <w:kern w:val="2"/>
          <w:sz w:val="28"/>
          <w:szCs w:val="28"/>
          <w:shd w:val="clear" w:color="auto" w:fill="auto"/>
          <w:lang w:val="en-US" w:eastAsia="zh-CN" w:bidi="ar-SA"/>
        </w:rPr>
        <w:t>九</w:t>
      </w:r>
      <w:r>
        <w:rPr>
          <w:rFonts w:hint="default" w:ascii="仿宋" w:hAnsi="仿宋" w:eastAsia="仿宋" w:cs="仿宋"/>
          <w:kern w:val="2"/>
          <w:sz w:val="28"/>
          <w:szCs w:val="28"/>
          <w:shd w:val="clear" w:color="auto" w:fill="auto"/>
          <w:lang w:val="en-US" w:eastAsia="zh-CN" w:bidi="ar-SA"/>
        </w:rPr>
        <w:t>届董事会第</w:t>
      </w:r>
      <w:r>
        <w:rPr>
          <w:rFonts w:hint="eastAsia" w:ascii="仿宋" w:hAnsi="仿宋" w:eastAsia="仿宋" w:cs="仿宋"/>
          <w:kern w:val="2"/>
          <w:sz w:val="28"/>
          <w:szCs w:val="28"/>
          <w:shd w:val="clear" w:color="auto" w:fill="auto"/>
          <w:lang w:val="en-US" w:eastAsia="zh-CN" w:bidi="ar-SA"/>
        </w:rPr>
        <w:t>三十四</w:t>
      </w:r>
      <w:r>
        <w:rPr>
          <w:rFonts w:hint="default" w:ascii="仿宋" w:hAnsi="仿宋" w:eastAsia="仿宋" w:cs="仿宋"/>
          <w:kern w:val="2"/>
          <w:sz w:val="28"/>
          <w:szCs w:val="28"/>
          <w:shd w:val="clear" w:color="auto" w:fill="auto"/>
          <w:lang w:val="en-US" w:eastAsia="zh-CN" w:bidi="ar-SA"/>
        </w:rPr>
        <w:t>次会议决议</w:t>
      </w:r>
      <w:r>
        <w:rPr>
          <w:rFonts w:hint="eastAsia" w:ascii="仿宋" w:hAnsi="仿宋" w:eastAsia="仿宋" w:cs="仿宋"/>
          <w:kern w:val="2"/>
          <w:sz w:val="28"/>
          <w:szCs w:val="28"/>
          <w:shd w:val="clear" w:color="auto" w:fill="auto"/>
          <w:lang w:val="en-US" w:eastAsia="zh-CN" w:bidi="ar-SA"/>
        </w:rPr>
        <w:t>；</w:t>
      </w:r>
    </w:p>
    <w:p w14:paraId="1A0AB60E">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eastAsia" w:ascii="仿宋" w:hAnsi="仿宋" w:eastAsia="仿宋" w:cs="仿宋"/>
          <w:kern w:val="2"/>
          <w:sz w:val="28"/>
          <w:szCs w:val="28"/>
          <w:shd w:val="clear" w:color="auto" w:fill="auto"/>
          <w:lang w:val="en-US" w:eastAsia="zh-CN" w:bidi="ar-SA"/>
        </w:rPr>
        <w:t>2.公司</w:t>
      </w:r>
      <w:r>
        <w:rPr>
          <w:rFonts w:hint="default" w:ascii="仿宋" w:hAnsi="仿宋" w:eastAsia="仿宋" w:cs="仿宋"/>
          <w:kern w:val="2"/>
          <w:sz w:val="28"/>
          <w:szCs w:val="28"/>
          <w:shd w:val="clear" w:color="auto" w:fill="auto"/>
          <w:lang w:val="en-US" w:eastAsia="zh-CN" w:bidi="ar-SA"/>
        </w:rPr>
        <w:t>202</w:t>
      </w:r>
      <w:r>
        <w:rPr>
          <w:rFonts w:hint="eastAsia" w:ascii="仿宋" w:hAnsi="仿宋" w:eastAsia="仿宋" w:cs="仿宋"/>
          <w:kern w:val="2"/>
          <w:sz w:val="28"/>
          <w:szCs w:val="28"/>
          <w:shd w:val="clear" w:color="auto" w:fill="auto"/>
          <w:lang w:val="en-US" w:eastAsia="zh-CN" w:bidi="ar-SA"/>
        </w:rPr>
        <w:t>4</w:t>
      </w:r>
      <w:r>
        <w:rPr>
          <w:rFonts w:hint="default" w:ascii="仿宋" w:hAnsi="仿宋" w:eastAsia="仿宋" w:cs="仿宋"/>
          <w:kern w:val="2"/>
          <w:sz w:val="28"/>
          <w:szCs w:val="28"/>
          <w:shd w:val="clear" w:color="auto" w:fill="auto"/>
          <w:lang w:val="en-US" w:eastAsia="zh-CN" w:bidi="ar-SA"/>
        </w:rPr>
        <w:t>年</w:t>
      </w:r>
      <w:r>
        <w:rPr>
          <w:rFonts w:hint="eastAsia" w:ascii="仿宋" w:hAnsi="仿宋" w:eastAsia="仿宋" w:cs="仿宋"/>
          <w:kern w:val="2"/>
          <w:sz w:val="28"/>
          <w:szCs w:val="28"/>
          <w:shd w:val="clear" w:color="auto" w:fill="auto"/>
          <w:lang w:val="en-US" w:eastAsia="zh-CN" w:bidi="ar-SA"/>
        </w:rPr>
        <w:t>度</w:t>
      </w:r>
      <w:r>
        <w:rPr>
          <w:rFonts w:hint="default" w:ascii="仿宋" w:hAnsi="仿宋" w:eastAsia="仿宋" w:cs="仿宋"/>
          <w:kern w:val="2"/>
          <w:sz w:val="28"/>
          <w:szCs w:val="28"/>
          <w:shd w:val="clear" w:color="auto" w:fill="auto"/>
          <w:lang w:val="en-US" w:eastAsia="zh-CN" w:bidi="ar-SA"/>
        </w:rPr>
        <w:t>股东会决议</w:t>
      </w:r>
      <w:r>
        <w:rPr>
          <w:rFonts w:hint="eastAsia" w:ascii="仿宋" w:hAnsi="仿宋" w:eastAsia="仿宋" w:cs="仿宋"/>
          <w:kern w:val="2"/>
          <w:sz w:val="28"/>
          <w:szCs w:val="28"/>
          <w:shd w:val="clear" w:color="auto" w:fill="auto"/>
          <w:lang w:val="en-US" w:eastAsia="zh-CN" w:bidi="ar-SA"/>
        </w:rPr>
        <w:t>；</w:t>
      </w:r>
    </w:p>
    <w:p w14:paraId="2162548D">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default" w:ascii="仿宋" w:hAnsi="仿宋" w:eastAsia="仿宋" w:cs="仿宋"/>
          <w:kern w:val="2"/>
          <w:sz w:val="28"/>
          <w:szCs w:val="28"/>
          <w:shd w:val="clear" w:color="auto" w:fill="auto"/>
          <w:lang w:val="en-US" w:eastAsia="zh-CN" w:bidi="ar-SA"/>
        </w:rPr>
        <w:t>3.中国结算深圳分公司确认有关</w:t>
      </w:r>
      <w:r>
        <w:rPr>
          <w:rFonts w:hint="eastAsia" w:ascii="仿宋" w:hAnsi="仿宋" w:eastAsia="仿宋" w:cs="仿宋"/>
          <w:kern w:val="2"/>
          <w:sz w:val="28"/>
          <w:szCs w:val="28"/>
          <w:shd w:val="clear" w:color="auto" w:fill="auto"/>
          <w:lang w:val="en-US" w:eastAsia="zh-CN" w:bidi="ar-SA"/>
        </w:rPr>
        <w:t>权益分派</w:t>
      </w:r>
      <w:r>
        <w:rPr>
          <w:rFonts w:hint="default" w:ascii="仿宋" w:hAnsi="仿宋" w:eastAsia="仿宋" w:cs="仿宋"/>
          <w:kern w:val="2"/>
          <w:sz w:val="28"/>
          <w:szCs w:val="28"/>
          <w:shd w:val="clear" w:color="auto" w:fill="auto"/>
          <w:lang w:val="en-US" w:eastAsia="zh-CN" w:bidi="ar-SA"/>
        </w:rPr>
        <w:t>具体时间安排的文件</w:t>
      </w:r>
      <w:r>
        <w:rPr>
          <w:rFonts w:hint="eastAsia" w:ascii="仿宋" w:hAnsi="仿宋" w:eastAsia="仿宋" w:cs="仿宋"/>
          <w:kern w:val="2"/>
          <w:sz w:val="28"/>
          <w:szCs w:val="28"/>
          <w:shd w:val="clear" w:color="auto" w:fill="auto"/>
          <w:lang w:val="en-US" w:eastAsia="zh-CN" w:bidi="ar-SA"/>
        </w:rPr>
        <w:t>。</w:t>
      </w:r>
    </w:p>
    <w:p w14:paraId="2364F92D">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default" w:ascii="仿宋" w:hAnsi="仿宋" w:eastAsia="仿宋" w:cs="仿宋"/>
          <w:kern w:val="2"/>
          <w:sz w:val="28"/>
          <w:szCs w:val="28"/>
          <w:shd w:val="clear" w:color="auto" w:fill="auto"/>
          <w:lang w:val="en-US" w:eastAsia="zh-CN" w:bidi="ar-SA"/>
        </w:rPr>
      </w:pPr>
    </w:p>
    <w:p w14:paraId="3036383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560" w:firstLineChars="200"/>
        <w:jc w:val="both"/>
        <w:textAlignment w:val="auto"/>
        <w:rPr>
          <w:rFonts w:hint="default" w:ascii="仿宋" w:hAnsi="仿宋" w:eastAsia="仿宋" w:cs="仿宋"/>
          <w:kern w:val="2"/>
          <w:sz w:val="28"/>
          <w:szCs w:val="28"/>
          <w:shd w:val="clear" w:color="auto" w:fill="auto"/>
          <w:lang w:val="en-US" w:eastAsia="zh-CN" w:bidi="ar-SA"/>
        </w:rPr>
      </w:pPr>
      <w:r>
        <w:rPr>
          <w:rFonts w:hint="default" w:ascii="仿宋" w:hAnsi="仿宋" w:eastAsia="仿宋" w:cs="仿宋"/>
          <w:kern w:val="2"/>
          <w:sz w:val="28"/>
          <w:szCs w:val="28"/>
          <w:shd w:val="clear" w:color="auto" w:fill="auto"/>
          <w:lang w:val="en-US" w:eastAsia="zh-CN" w:bidi="ar-SA"/>
        </w:rPr>
        <w:t>特此公告。</w:t>
      </w:r>
    </w:p>
    <w:p w14:paraId="1C127A1B">
      <w:pPr>
        <w:spacing w:line="600" w:lineRule="exact"/>
        <w:ind w:firstLine="4620" w:firstLineChars="1650"/>
        <w:rPr>
          <w:rFonts w:eastAsia="仿宋"/>
          <w:sz w:val="28"/>
          <w:szCs w:val="28"/>
        </w:rPr>
      </w:pPr>
    </w:p>
    <w:p w14:paraId="661C5377">
      <w:pPr>
        <w:spacing w:line="600" w:lineRule="exact"/>
        <w:ind w:firstLine="4620" w:firstLineChars="1650"/>
        <w:rPr>
          <w:rFonts w:eastAsia="仿宋"/>
          <w:sz w:val="28"/>
          <w:szCs w:val="28"/>
        </w:rPr>
      </w:pPr>
    </w:p>
    <w:p w14:paraId="7BAE98A5">
      <w:pPr>
        <w:spacing w:line="600" w:lineRule="exact"/>
        <w:ind w:firstLine="4620" w:firstLineChars="1650"/>
        <w:rPr>
          <w:rFonts w:eastAsia="仿宋"/>
          <w:sz w:val="28"/>
          <w:szCs w:val="28"/>
        </w:rPr>
      </w:pPr>
      <w:r>
        <w:rPr>
          <w:rFonts w:eastAsia="仿宋"/>
          <w:sz w:val="28"/>
          <w:szCs w:val="28"/>
        </w:rPr>
        <w:t>吉林电力股份有限公司董事会</w:t>
      </w:r>
    </w:p>
    <w:p w14:paraId="66634F29">
      <w:pPr>
        <w:keepNext w:val="0"/>
        <w:keepLines w:val="0"/>
        <w:widowControl/>
        <w:suppressLineNumbers w:val="0"/>
        <w:spacing w:line="600" w:lineRule="exact"/>
        <w:ind w:firstLine="560" w:firstLineChars="200"/>
        <w:jc w:val="left"/>
        <w:rPr>
          <w:rFonts w:hint="eastAsia" w:ascii="仿宋" w:hAnsi="仿宋" w:eastAsia="仿宋" w:cs="仿宋"/>
          <w:color w:val="000000"/>
          <w:kern w:val="0"/>
          <w:sz w:val="28"/>
          <w:szCs w:val="28"/>
          <w:lang w:val="en-US" w:eastAsia="zh-CN" w:bidi="ar"/>
        </w:rPr>
      </w:pPr>
      <w:r>
        <w:rPr>
          <w:rFonts w:eastAsia="仿宋"/>
          <w:sz w:val="28"/>
          <w:szCs w:val="28"/>
        </w:rPr>
        <w:t xml:space="preserve">                              </w:t>
      </w:r>
      <w:r>
        <w:rPr>
          <w:rFonts w:hint="eastAsia" w:eastAsia="仿宋"/>
          <w:sz w:val="28"/>
          <w:szCs w:val="28"/>
          <w:lang w:val="en-US" w:eastAsia="zh-CN"/>
        </w:rPr>
        <w:t xml:space="preserve">  </w:t>
      </w:r>
      <w:r>
        <w:rPr>
          <w:rFonts w:eastAsia="仿宋"/>
          <w:sz w:val="28"/>
          <w:szCs w:val="28"/>
        </w:rPr>
        <w:t xml:space="preserve"> </w:t>
      </w:r>
      <w:r>
        <w:rPr>
          <w:rFonts w:hint="eastAsia" w:eastAsia="仿宋"/>
          <w:sz w:val="28"/>
          <w:szCs w:val="28"/>
          <w:lang w:eastAsia="zh-CN"/>
        </w:rPr>
        <w:t>二〇二五</w:t>
      </w:r>
      <w:r>
        <w:rPr>
          <w:rFonts w:eastAsia="仿宋"/>
          <w:sz w:val="28"/>
          <w:szCs w:val="28"/>
        </w:rPr>
        <w:t>年</w:t>
      </w:r>
      <w:r>
        <w:rPr>
          <w:rFonts w:hint="eastAsia" w:eastAsia="仿宋"/>
          <w:sz w:val="28"/>
          <w:szCs w:val="28"/>
          <w:lang w:val="en-US" w:eastAsia="zh-CN"/>
        </w:rPr>
        <w:t>九</w:t>
      </w:r>
      <w:r>
        <w:rPr>
          <w:rFonts w:eastAsia="仿宋"/>
          <w:sz w:val="28"/>
          <w:szCs w:val="28"/>
        </w:rPr>
        <w:t>月</w:t>
      </w:r>
      <w:r>
        <w:rPr>
          <w:rFonts w:hint="eastAsia" w:eastAsia="仿宋"/>
          <w:sz w:val="28"/>
          <w:szCs w:val="28"/>
          <w:lang w:val="en-US" w:eastAsia="zh-CN"/>
        </w:rPr>
        <w:t>十一</w:t>
      </w:r>
      <w:r>
        <w:rPr>
          <w:rFonts w:eastAsia="仿宋"/>
          <w:sz w:val="28"/>
          <w:szCs w:val="28"/>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220F64"/>
    <w:multiLevelType w:val="singleLevel"/>
    <w:tmpl w:val="57220F64"/>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y%20Zhou\Desktop\2025-9&#26376;&#21457;&#20844;&#21578;\2025-043-2024&#24180;&#24230;&#20998;&#32418;&#27966;&#24687;&#23454;&#26045;&#20844;&#21578;.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